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8586632b44722" /></Relationships>
</file>

<file path=word/document.xml><?xml version="1.0" encoding="utf-8"?>
<w:document xmlns:w="http://schemas.openxmlformats.org/wordprocessingml/2006/main">
  <w:body>
    <w:p>
      <w:r>
        <w:t>H-2233.1</w:t>
      </w:r>
    </w:p>
    <w:p>
      <w:pPr>
        <w:jc w:val="center"/>
      </w:pPr>
      <w:r>
        <w:t>_______________________________________________</w:t>
      </w:r>
    </w:p>
    <w:p/>
    <w:p>
      <w:pPr>
        <w:jc w:val="center"/>
      </w:pPr>
      <w:r>
        <w:rPr>
          <w:b/>
        </w:rPr>
        <w:t>HOUSE BILL 2007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Gregerson, Alvarado, Berry, Senn, Morgan, Leavitt, Reed, Ormsby, Kloba, Macri, Doglio, Bergquist, Goodman, Ortiz-Self, Santos, and Hackney</w:t>
      </w:r>
    </w:p>
    <w:p/>
    <w:p>
      <w:r>
        <w:rPr>
          <w:t xml:space="preserve">Prefiled 12/21/23.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time limit exemptions applicable to cash assistance programs; and amending RCW 74.08A.010.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2023 c 418 s 3 are each amended to read as follows:</w:t>
      </w:r>
    </w:p>
    <w:p>
      <w:pPr>
        <w:spacing w:before="0" w:after="0" w:line="408" w:lineRule="exact"/>
        <w:ind w:left="0" w:right="0" w:firstLine="576"/>
        <w:jc w:val="left"/>
      </w:pPr>
      <w:r>
        <w:rPr/>
        <w:t xml:space="preserve">(1) A family that includes an adult who has received temporary assistance for needy families for 60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(4)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(a) By reason of hardship, including when:</w:t>
      </w:r>
    </w:p>
    <w:p>
      <w:pPr>
        <w:spacing w:before="0" w:after="0" w:line="408" w:lineRule="exact"/>
        <w:ind w:left="0" w:right="0" w:firstLine="576"/>
        <w:jc w:val="left"/>
      </w:pPr>
      <w:r>
        <w:rPr/>
        <w:t xml:space="preserve">(i)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(ii)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(4)(a)(ii)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(4) or in rule; </w:t>
      </w:r>
      <w:r>
        <w:t>((</w:t>
      </w:r>
      <w:r>
        <w:rPr>
          <w:strike/>
        </w:rPr>
        <w:t xml:space="preserve">or</w:t>
      </w:r>
      <w:r>
        <w:t>))</w:t>
      </w:r>
    </w:p>
    <w:p>
      <w:pPr>
        <w:spacing w:before="0" w:after="0" w:line="408" w:lineRule="exact"/>
        <w:ind w:left="0" w:right="0" w:firstLine="576"/>
        <w:jc w:val="left"/>
      </w:pPr>
      <w:r>
        <w:rPr/>
        <w:t xml:space="preserve">(iii) Beginning July 1, 2022, the Washington state unemployment rate most recently published by the Washington employment security department is equal to or greater than seven percent</w:t>
      </w:r>
      <w:r>
        <w:rPr>
          <w:u w:val="single"/>
        </w:rPr>
        <w:t xml:space="preserve">; or</w:t>
      </w:r>
    </w:p>
    <w:p>
      <w:pPr>
        <w:spacing w:before="0" w:after="0" w:line="408" w:lineRule="exact"/>
        <w:ind w:left="0" w:right="0" w:firstLine="576"/>
        <w:jc w:val="left"/>
      </w:pPr>
      <w:r>
        <w:rPr>
          <w:u w:val="single"/>
        </w:rPr>
        <w:t xml:space="preserve">(iv) Termination or denial of cash assistance would result in financial distress for the recipient's family</w:t>
      </w:r>
      <w:r>
        <w:rPr/>
        <w:t xml:space="preserve">; or</w:t>
      </w:r>
    </w:p>
    <w:p>
      <w:pPr>
        <w:spacing w:before="0" w:after="0" w:line="408" w:lineRule="exact"/>
        <w:ind w:left="0" w:right="0" w:firstLine="576"/>
        <w:jc w:val="left"/>
      </w:pPr>
      <w:r>
        <w:rPr/>
        <w:t xml:space="preserve">(b)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(5) The department shall not exempt a recipient and his or her family from the application of subsection (1) of this section until after the recipient has received 52 months of assistance under this chapter.</w:t>
      </w:r>
    </w:p>
    <w:p>
      <w:pPr>
        <w:spacing w:before="0" w:after="0" w:line="408" w:lineRule="exact"/>
        <w:ind w:left="0" w:right="0" w:firstLine="576"/>
        <w:jc w:val="left"/>
      </w:pPr>
      <w:r>
        <w:rPr/>
        <w:t xml:space="preserve">(6)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rPr/>
        <w:t xml:space="preserve">(7) The department may adopt rules specifying which published employment security department unemployment rates to use for the purposes of subsection (4)(a)(ii) and (iii) of this section.</w:t>
      </w:r>
    </w:p>
    <w:p/>
    <w:p>
      <w:pPr>
        <w:jc w:val="center"/>
      </w:pPr>
      <w:r>
        <w:rPr>
          <w:b/>
        </w:rPr>
        <w:t>--- END ---</w:t>
      </w:r>
    </w:p>
    <w:sectPr>
      <w:pgNumType w:start="1"/>
      <w:footerReference xmlns:r="http://schemas.openxmlformats.org/officeDocument/2006/relationships" r:id="R140b3190744947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e1833fb3a42d2" /><Relationship Type="http://schemas.openxmlformats.org/officeDocument/2006/relationships/footer" Target="/word/footer1.xml" Id="R140b31907449475f" /></Relationships>
</file>