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eb41697bce41e7" /></Relationships>
</file>

<file path=word/document.xml><?xml version="1.0" encoding="utf-8"?>
<w:document xmlns:w="http://schemas.openxmlformats.org/wordprocessingml/2006/main">
  <w:body>
    <w:p>
      <w:r>
        <w:t>H-2312.1</w:t>
      </w:r>
    </w:p>
    <w:p>
      <w:pPr>
        <w:jc w:val="center"/>
      </w:pPr>
      <w:r>
        <w:t>_______________________________________________</w:t>
      </w:r>
    </w:p>
    <w:p/>
    <w:p>
      <w:pPr>
        <w:jc w:val="center"/>
      </w:pPr>
      <w:r>
        <w:rPr>
          <w:b/>
        </w:rPr>
        <w:t>HOUSE BILL 2012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Street, Alvarado, Ryu, Ramel, Bateman, Reed, Peterson, Doglio, Lekanoff, Santos, Chopp, and Hackney</w:t>
      </w:r>
    </w:p>
    <w:p/>
    <w:p>
      <w:r>
        <w:rPr>
          <w:t xml:space="preserve">Prefiled 12/21/23.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a property tax exemption for nonprofits providing affordable rental housing built with city and county funds; amending RCW 84.36.560;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2023 c 277 s 11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qualifying households or used to provide space for the placement of a mobile home for a qualifying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w:t>
      </w:r>
      <w:r>
        <w:t>((</w:t>
      </w:r>
      <w:r>
        <w:rPr>
          <w:strike/>
        </w:rPr>
        <w:t xml:space="preserve">seventy-five</w:t>
      </w:r>
      <w:r>
        <w:t>))</w:t>
      </w:r>
      <w:r>
        <w:rPr/>
        <w:t xml:space="preserve"> </w:t>
      </w:r>
      <w:r>
        <w:rPr>
          <w:u w:val="single"/>
        </w:rPr>
        <w:t xml:space="preserve">75</w:t>
      </w:r>
      <w:r>
        <w:rPr/>
        <w:t xml:space="preserve"> percent of the occupied dwelling units in the rental housing or lots in a mobile home park are occupied by a qualifying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 </w:t>
      </w:r>
      <w:r>
        <w:rPr>
          <w:u w:val="single"/>
        </w:rPr>
        <w:t xml:space="preserve">or 84.55.050</w:t>
      </w:r>
      <w:r>
        <w:rPr/>
        <w:t xml:space="preserve">;</w:t>
      </w:r>
    </w:p>
    <w:p>
      <w:pPr>
        <w:spacing w:before="0" w:after="0" w:line="408" w:lineRule="exact"/>
        <w:ind w:left="0" w:right="0" w:firstLine="576"/>
        <w:jc w:val="left"/>
      </w:pPr>
      <w:r>
        <w:rPr/>
        <w:t xml:space="preserve">(iv) The surcharges authorized by RCW 36.22.250 and any of the surcharges authorized in chapter 43.185C RCW; </w:t>
      </w:r>
      <w:r>
        <w:t>((</w:t>
      </w:r>
      <w:r>
        <w:rPr>
          <w:strike/>
        </w:rPr>
        <w:t xml:space="preserve">or</w:t>
      </w:r>
      <w:r>
        <w:t>))</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 or a nonprofit entity</w:t>
      </w:r>
      <w:r>
        <w:rPr>
          <w:u w:val="single"/>
        </w:rPr>
        <w:t xml:space="preserve">; or</w:t>
      </w:r>
    </w:p>
    <w:p>
      <w:pPr>
        <w:spacing w:before="0" w:after="0" w:line="408" w:lineRule="exact"/>
        <w:ind w:left="0" w:right="0" w:firstLine="576"/>
        <w:jc w:val="left"/>
      </w:pPr>
      <w:r>
        <w:rPr>
          <w:u w:val="single"/>
        </w:rPr>
        <w:t xml:space="preserve">(vi) Any city or county funds intended to assist in the development or preservation of affordable housing for qualifying households</w:t>
      </w:r>
      <w:r>
        <w:rPr/>
        <w:t xml:space="preserve">.</w:t>
      </w:r>
    </w:p>
    <w:p>
      <w:pPr>
        <w:spacing w:before="0" w:after="0" w:line="408" w:lineRule="exact"/>
        <w:ind w:left="0" w:right="0" w:firstLine="576"/>
        <w:jc w:val="left"/>
      </w:pPr>
      <w:r>
        <w:rPr/>
        <w:t xml:space="preserve">(2) If less than </w:t>
      </w:r>
      <w:r>
        <w:t>((</w:t>
      </w:r>
      <w:r>
        <w:rPr>
          <w:strike/>
        </w:rPr>
        <w:t xml:space="preserve">seventy-five</w:t>
      </w:r>
      <w:r>
        <w:t>))</w:t>
      </w:r>
      <w:r>
        <w:rPr/>
        <w:t xml:space="preserve"> </w:t>
      </w:r>
      <w:r>
        <w:rPr>
          <w:u w:val="single"/>
        </w:rPr>
        <w:t xml:space="preserve">75</w:t>
      </w:r>
      <w:r>
        <w:rPr/>
        <w:t xml:space="preserve"> percent of the occupied dwelling units within the rental housing or lots in the mobile home park are occupied by qualifying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qualifying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qualifying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or mobile home lot in a mobile home park was occupied by a qualifying household at the time the exemption was granted and the income of the household subsequently rises above the threshold set in subsection (7)(e) of this section but remains at or below </w:t>
      </w:r>
      <w:r>
        <w:t>((</w:t>
      </w:r>
      <w:r>
        <w:rPr>
          <w:strike/>
        </w:rPr>
        <w:t xml:space="preserve">eighty</w:t>
      </w:r>
      <w:r>
        <w:t>))</w:t>
      </w:r>
      <w:r>
        <w:rPr/>
        <w:t xml:space="preserve"> </w:t>
      </w:r>
      <w:r>
        <w:rPr>
          <w:u w:val="single"/>
        </w:rPr>
        <w:t xml:space="preserve">80</w:t>
      </w:r>
      <w:r>
        <w:rPr/>
        <w:t xml:space="preserve"> percent of the median income, the exemption will continue as long as the housing continues to meet the certification requirements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the threshold set in subsection (7)(e) of this section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qualifying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qualifying households; and</w:t>
      </w:r>
    </w:p>
    <w:p>
      <w:pPr>
        <w:spacing w:before="0" w:after="0" w:line="408" w:lineRule="exact"/>
        <w:ind w:left="0" w:right="0" w:firstLine="576"/>
        <w:jc w:val="left"/>
      </w:pPr>
      <w:r>
        <w:rPr/>
        <w:t xml:space="preserve">(c) Only the portion of property that will be used to provide housing or lots for qualifying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qualifying households;</w:t>
      </w:r>
    </w:p>
    <w:p>
      <w:pPr>
        <w:spacing w:before="0" w:after="0" w:line="408" w:lineRule="exact"/>
        <w:ind w:left="0" w:right="0" w:firstLine="576"/>
        <w:jc w:val="left"/>
      </w:pPr>
      <w:r>
        <w:rPr/>
        <w:t xml:space="preserve">(e)(i) "Qualifying household" means a single person, family, or unrelated persons living together whose income is at or below </w:t>
      </w:r>
      <w:r>
        <w:t>((</w:t>
      </w:r>
      <w:r>
        <w:rPr>
          <w:strike/>
        </w:rPr>
        <w:t xml:space="preserve">fifty</w:t>
      </w:r>
      <w:r>
        <w:t>))</w:t>
      </w:r>
      <w:r>
        <w:rPr/>
        <w:t xml:space="preserve"> </w:t>
      </w:r>
      <w:r>
        <w:rPr>
          <w:u w:val="single"/>
        </w:rPr>
        <w:t xml:space="preserve">50</w:t>
      </w:r>
      <w:r>
        <w:rPr/>
        <w:t xml:space="preserve">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w:t>
      </w:r>
    </w:p>
    <w:p>
      <w:pPr>
        <w:spacing w:before="0" w:after="0" w:line="408" w:lineRule="exact"/>
        <w:ind w:left="0" w:right="0" w:firstLine="576"/>
        <w:jc w:val="left"/>
      </w:pPr>
      <w:r>
        <w:rPr/>
        <w:t xml:space="preserve">(ii) Beginning July 1, 2021, "qualifying household" means a single person, family, or unrelated persons living together whose income is at or below </w:t>
      </w:r>
      <w:r>
        <w:t>((</w:t>
      </w:r>
      <w:r>
        <w:rPr>
          <w:strike/>
        </w:rPr>
        <w:t xml:space="preserve">sixty</w:t>
      </w:r>
      <w:r>
        <w:t>))</w:t>
      </w:r>
      <w:r>
        <w:rPr/>
        <w:t xml:space="preserve"> </w:t>
      </w:r>
      <w:r>
        <w:rPr>
          <w:u w:val="single"/>
        </w:rPr>
        <w:t xml:space="preserve">60</w:t>
      </w:r>
      <w:r>
        <w:rPr/>
        <w:t xml:space="preserve">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
      <w:pPr>
        <w:jc w:val="center"/>
      </w:pPr>
      <w:r>
        <w:rPr>
          <w:b/>
        </w:rPr>
        <w:t>--- END ---</w:t>
      </w:r>
    </w:p>
    <w:sectPr>
      <w:pgNumType w:start="1"/>
      <w:footerReference xmlns:r="http://schemas.openxmlformats.org/officeDocument/2006/relationships" r:id="Rc529de31090744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d240b991c347e9" /><Relationship Type="http://schemas.openxmlformats.org/officeDocument/2006/relationships/footer" Target="/word/footer1.xml" Id="Rc529de310907446b" /></Relationships>
</file>