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50b593f7a74919" /></Relationships>
</file>

<file path=word/document.xml><?xml version="1.0" encoding="utf-8"?>
<w:document xmlns:w="http://schemas.openxmlformats.org/wordprocessingml/2006/main">
  <w:body>
    <w:p>
      <w:r>
        <w:t>H-2285.1</w:t>
      </w:r>
    </w:p>
    <w:p>
      <w:pPr>
        <w:jc w:val="center"/>
      </w:pPr>
      <w:r>
        <w:t>_______________________________________________</w:t>
      </w:r>
    </w:p>
    <w:p/>
    <w:p>
      <w:pPr>
        <w:jc w:val="center"/>
      </w:pPr>
      <w:r>
        <w:rPr>
          <w:b/>
        </w:rPr>
        <w:t>HOUSE BILL 2101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Timmons, Senn, Leavitt, Cheney, Tharinger, Riccelli, Reeves, and Shavers</w:t>
      </w:r>
    </w:p>
    <w:p/>
    <w:p>
      <w:r>
        <w:rPr>
          <w:t xml:space="preserve">Prefiled 01/03/24.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care licensing fees; and amending RCW 43.216.300 and 43.216.305.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2021 c 304 s 14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using a method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w:t>
      </w:r>
      <w:r>
        <w:t>((</w:t>
      </w:r>
      <w:r>
        <w:rPr>
          <w:strike/>
        </w:rPr>
        <w:t xml:space="preserve">Submit the annual licensing fee;</w:t>
      </w:r>
    </w:p>
    <w:p>
      <w:pPr>
        <w:spacing w:before="0" w:after="0" w:line="408" w:lineRule="exact"/>
        <w:ind w:left="0" w:right="0" w:firstLine="576"/>
        <w:jc w:val="left"/>
      </w:pPr>
      <w:r>
        <w:rPr>
          <w:strike/>
        </w:rPr>
        <w:t xml:space="preserve">(b)</w:t>
      </w:r>
      <w:r>
        <w:t>))</w:t>
      </w:r>
      <w:r>
        <w:rPr/>
        <w:t xml:space="preserve">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a declaration of compliance with all licensing rules;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all current employees of the agency and as defined by department rule, submit background check applications into the department's electronic workforce registry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
      <w:pPr>
        <w:jc w:val="center"/>
      </w:pPr>
      <w:r>
        <w:rPr>
          <w:b/>
        </w:rPr>
        <w:t>--- END ---</w:t>
      </w:r>
    </w:p>
    <w:sectPr>
      <w:pgNumType w:start="1"/>
      <w:footerReference xmlns:r="http://schemas.openxmlformats.org/officeDocument/2006/relationships" r:id="R5f757a9c9b2d41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6bc80af994c6c" /><Relationship Type="http://schemas.openxmlformats.org/officeDocument/2006/relationships/footer" Target="/word/footer1.xml" Id="R5f757a9c9b2d41ae" /></Relationships>
</file>