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71c33ecca2419c" /></Relationships>
</file>

<file path=word/document.xml><?xml version="1.0" encoding="utf-8"?>
<w:document xmlns:w="http://schemas.openxmlformats.org/wordprocessingml/2006/main">
  <w:body>
    <w:p>
      <w:r>
        <w:t>H-2407.1</w:t>
      </w:r>
    </w:p>
    <w:p>
      <w:pPr>
        <w:jc w:val="center"/>
      </w:pPr>
      <w:r>
        <w:t>_______________________________________________</w:t>
      </w:r>
    </w:p>
    <w:p/>
    <w:p>
      <w:pPr>
        <w:jc w:val="center"/>
      </w:pPr>
      <w:r>
        <w:rPr>
          <w:b/>
        </w:rPr>
        <w:t>HOUSE BILL 2138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Barkis, Senn, Simmons, Ramel, Paul, Riccelli, Doglio, and Reeves</w:t>
      </w:r>
    </w:p>
    <w:p/>
    <w:p>
      <w:r>
        <w:rPr>
          <w:t xml:space="preserve">Prefiled 01/04/24.</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outdoor learning in state parks; amending RCW 79A.05.030 and 79A.05.035;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2020 c 123 s 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 </w:t>
      </w:r>
      <w:r>
        <w:rPr>
          <w:u w:val="single"/>
        </w:rPr>
        <w:t xml:space="preserve">When developing capital projects for new or existing structures and facilities, the commission must consider design elements that support outdoor learning opportunities.</w:t>
      </w:r>
    </w:p>
    <w:p>
      <w:pPr>
        <w:spacing w:before="0" w:after="0" w:line="408" w:lineRule="exact"/>
        <w:ind w:left="0" w:right="0" w:firstLine="576"/>
        <w:jc w:val="left"/>
      </w:pPr>
      <w:r>
        <w:rPr/>
        <w:t xml:space="preserve">(5) Grant concessions or leases in state parks and parkways upon such rentals, fees, or percentage of income or profits and for such terms, in no event longer than eighty years, except for a lease associated with land or property described in RCW 79A.05.025(2)(b) which may not exceed </w:t>
      </w:r>
      <w:r>
        <w:t>((</w:t>
      </w:r>
      <w:r>
        <w:rPr>
          <w:strike/>
        </w:rPr>
        <w:t xml:space="preserve">sixty-two</w:t>
      </w:r>
      <w:r>
        <w:t>))</w:t>
      </w:r>
      <w:r>
        <w:rPr/>
        <w:t xml:space="preserve"> </w:t>
      </w:r>
      <w:r>
        <w:rPr>
          <w:u w:val="single"/>
        </w:rPr>
        <w:t xml:space="preserve">62</w:t>
      </w:r>
      <w:r>
        <w:rPr/>
        <w:t xml:space="preserve"> years, and upon such conditions as shall be approved by the commission.</w:t>
      </w:r>
    </w:p>
    <w:p>
      <w:pPr>
        <w:spacing w:before="0" w:after="0" w:line="408" w:lineRule="exact"/>
        <w:ind w:left="0" w:right="0" w:firstLine="576"/>
        <w:jc w:val="left"/>
      </w:pPr>
      <w:r>
        <w:rPr/>
        <w:t xml:space="preserve">(a) Leases exceeding a </w:t>
      </w:r>
      <w:r>
        <w:t>((</w:t>
      </w:r>
      <w:r>
        <w:rPr>
          <w:strike/>
        </w:rPr>
        <w:t xml:space="preserve">twenty-year</w:t>
      </w:r>
      <w:r>
        <w:t>))</w:t>
      </w:r>
      <w:r>
        <w:rPr/>
        <w:t xml:space="preserve"> </w:t>
      </w:r>
      <w:r>
        <w:rPr>
          <w:u w:val="single"/>
        </w:rPr>
        <w:t xml:space="preserve">20-year</w:t>
      </w:r>
      <w:r>
        <w:rPr/>
        <w:t xml:space="preserve"> term, or the amendment or modification of these leases, shall require a vote consistent with RCW 79A.05.025(2).</w:t>
      </w:r>
    </w:p>
    <w:p>
      <w:pPr>
        <w:spacing w:before="0" w:after="0" w:line="408" w:lineRule="exact"/>
        <w:ind w:left="0" w:right="0" w:firstLine="576"/>
        <w:jc w:val="left"/>
      </w:pPr>
      <w:r>
        <w:rPr/>
        <w:t xml:space="preserve">(b) If, during the term of any concession or lease, it is the opinion of the commission that it would be in the best interest of the state, the commission may, with the consent of the concessionaire or lessee, alter and amend the terms and conditions of such concession or lease.</w:t>
      </w:r>
    </w:p>
    <w:p>
      <w:pPr>
        <w:spacing w:before="0" w:after="0" w:line="408" w:lineRule="exact"/>
        <w:ind w:left="0" w:right="0" w:firstLine="576"/>
        <w:jc w:val="left"/>
      </w:pPr>
      <w:r>
        <w:rPr/>
        <w:t xml:space="preserve">(c) Television station leases shall be subject to the provisions of RCW 79A.05.085.</w:t>
      </w:r>
    </w:p>
    <w:p>
      <w:pPr>
        <w:spacing w:before="0" w:after="0" w:line="408" w:lineRule="exact"/>
        <w:ind w:left="0" w:right="0" w:firstLine="576"/>
        <w:jc w:val="left"/>
      </w:pPr>
      <w:r>
        <w:rPr/>
        <w:t xml:space="preserve">(d) The rates of concessions or leases shall be renegotiated at five-year intervals.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035</w:t>
      </w:r>
      <w:r>
        <w:rPr/>
        <w:t xml:space="preserve"> and 1999 c 249 s 303 are each amended to read as follows:</w:t>
      </w:r>
    </w:p>
    <w:p>
      <w:pPr>
        <w:spacing w:before="0" w:after="0" w:line="408" w:lineRule="exact"/>
        <w:ind w:left="0" w:right="0" w:firstLine="576"/>
        <w:jc w:val="left"/>
      </w:pPr>
      <w:r>
        <w:rPr/>
        <w:t xml:space="preserve">(1) The commission shall:</w:t>
      </w:r>
    </w:p>
    <w:p>
      <w:pPr>
        <w:spacing w:before="0" w:after="0" w:line="408" w:lineRule="exact"/>
        <w:ind w:left="0" w:right="0" w:firstLine="576"/>
        <w:jc w:val="left"/>
      </w:pPr>
      <w:r>
        <w:rPr/>
        <w:t xml:space="preserve">(a) Manage timber and land under its jurisdiction to maintain and enhance aesthetic and recreational values;</w:t>
      </w:r>
    </w:p>
    <w:p>
      <w:pPr>
        <w:spacing w:before="0" w:after="0" w:line="408" w:lineRule="exact"/>
        <w:ind w:left="0" w:right="0" w:firstLine="576"/>
        <w:jc w:val="left"/>
      </w:pPr>
      <w:r>
        <w:rPr/>
        <w:t xml:space="preserve">(b) Apply modern conservation practices to maintain and enhance aesthetic, recreational, and ecological resources; </w:t>
      </w:r>
      <w:r>
        <w:t>((</w:t>
      </w:r>
      <w:r>
        <w:rPr>
          <w:strike/>
        </w:rPr>
        <w:t xml:space="preserve">and</w:t>
      </w:r>
      <w:r>
        <w:t>))</w:t>
      </w:r>
    </w:p>
    <w:p>
      <w:pPr>
        <w:spacing w:before="0" w:after="0" w:line="408" w:lineRule="exact"/>
        <w:ind w:left="0" w:right="0" w:firstLine="576"/>
        <w:jc w:val="left"/>
      </w:pPr>
      <w:r>
        <w:rPr/>
        <w:t xml:space="preserve">(c) Designate and preserve certain forest areas throughout the state as natural forests or natural areas for interpretation, study, and preservation purposes</w:t>
      </w:r>
      <w:r>
        <w:rPr>
          <w:u w:val="single"/>
        </w:rPr>
        <w:t xml:space="preserve">; and</w:t>
      </w:r>
    </w:p>
    <w:p>
      <w:pPr>
        <w:spacing w:before="0" w:after="0" w:line="408" w:lineRule="exact"/>
        <w:ind w:left="0" w:right="0" w:firstLine="576"/>
        <w:jc w:val="left"/>
      </w:pPr>
      <w:r>
        <w:rPr>
          <w:u w:val="single"/>
        </w:rPr>
        <w:t xml:space="preserve">(d) Coordinate with the office of the superintendent of public instruction, school districts, outdoor education program providers, and grantees to assist with coordinating outdoor education events in the parks</w:t>
      </w:r>
      <w:r>
        <w:rPr/>
        <w:t xml:space="preserve">.</w:t>
      </w:r>
    </w:p>
    <w:p>
      <w:pPr>
        <w:spacing w:before="0" w:after="0" w:line="408" w:lineRule="exact"/>
        <w:ind w:left="0" w:right="0" w:firstLine="576"/>
        <w:jc w:val="left"/>
      </w:pPr>
      <w:r>
        <w:rPr/>
        <w:t xml:space="preserve">(2) Trees may be removed from state parks:</w:t>
      </w:r>
    </w:p>
    <w:p>
      <w:pPr>
        <w:spacing w:before="0" w:after="0" w:line="408" w:lineRule="exact"/>
        <w:ind w:left="0" w:right="0" w:firstLine="576"/>
        <w:jc w:val="left"/>
      </w:pPr>
      <w:r>
        <w:rPr/>
        <w:t xml:space="preserve">(a) When hazardous to persons, property, or facilities;</w:t>
      </w:r>
    </w:p>
    <w:p>
      <w:pPr>
        <w:spacing w:before="0" w:after="0" w:line="408" w:lineRule="exact"/>
        <w:ind w:left="0" w:right="0" w:firstLine="576"/>
        <w:jc w:val="left"/>
      </w:pPr>
      <w:r>
        <w:rPr/>
        <w:t xml:space="preserve">(b) As part of a park maintenance or development project, or conservation practice;</w:t>
      </w:r>
    </w:p>
    <w:p>
      <w:pPr>
        <w:spacing w:before="0" w:after="0" w:line="408" w:lineRule="exact"/>
        <w:ind w:left="0" w:right="0" w:firstLine="576"/>
        <w:jc w:val="left"/>
      </w:pPr>
      <w:r>
        <w:rPr/>
        <w:t xml:space="preserve">(c) As part of a road or utility easement; or</w:t>
      </w:r>
    </w:p>
    <w:p>
      <w:pPr>
        <w:spacing w:before="0" w:after="0" w:line="408" w:lineRule="exact"/>
        <w:ind w:left="0" w:right="0" w:firstLine="576"/>
        <w:jc w:val="left"/>
      </w:pPr>
      <w:r>
        <w:rPr/>
        <w:t xml:space="preserve">(d) When damaged by a catastrophic forest event.</w:t>
      </w:r>
    </w:p>
    <w:p>
      <w:pPr>
        <w:spacing w:before="0" w:after="0" w:line="408" w:lineRule="exact"/>
        <w:ind w:left="0" w:right="0" w:firstLine="576"/>
        <w:jc w:val="left"/>
      </w:pPr>
      <w:r>
        <w:rPr/>
        <w:t xml:space="preserve">(3) Tree removal under subsection (2) of this section shall be done by commission personnel, unless the personnel lack necessary expertise. Except in emergencies and when feasible, significant trees shall be removed only after they have been marked or appraised by a professional forester. The removal of significant trees from a natural forest may take place only after a public hearing has been held, except in emergencies.</w:t>
      </w:r>
    </w:p>
    <w:p>
      <w:pPr>
        <w:spacing w:before="0" w:after="0" w:line="408" w:lineRule="exact"/>
        <w:ind w:left="0" w:right="0" w:firstLine="576"/>
        <w:jc w:val="left"/>
      </w:pPr>
      <w:r>
        <w:rPr/>
        <w:t xml:space="preserve">(4) When feasible, felled timber shall be left on the ground for natural purposes or used for park purposes including, but not limited to, building projects, trail mulching, and firewood. In natural forest areas, first consideration shall be given to leaving timber on the ground for natural purposes.</w:t>
      </w:r>
    </w:p>
    <w:p>
      <w:pPr>
        <w:spacing w:before="0" w:after="0" w:line="408" w:lineRule="exact"/>
        <w:ind w:left="0" w:right="0" w:firstLine="576"/>
        <w:jc w:val="left"/>
      </w:pPr>
      <w:r>
        <w:rPr/>
        <w:t xml:space="preserve">(5) The commission may issue permits to individuals under RCW 4.24.210 and 79A.05.090 for the removal of wood debris from state parks for personal firewood use.</w:t>
      </w:r>
    </w:p>
    <w:p>
      <w:pPr>
        <w:spacing w:before="0" w:after="0" w:line="408" w:lineRule="exact"/>
        <w:ind w:left="0" w:right="0" w:firstLine="576"/>
        <w:jc w:val="left"/>
      </w:pPr>
      <w:r>
        <w:rPr/>
        <w:t xml:space="preserve">(6) Only timber that qualifies for cutting or removal under subsection (2) of this section may be sold. Timber shall be sold only when surplus to the needs of the park.</w:t>
      </w:r>
    </w:p>
    <w:p>
      <w:pPr>
        <w:spacing w:before="0" w:after="0" w:line="408" w:lineRule="exact"/>
        <w:ind w:left="0" w:right="0" w:firstLine="576"/>
        <w:jc w:val="left"/>
      </w:pPr>
      <w:r>
        <w:rPr/>
        <w:t xml:space="preserve">(7) Net revenue derived from timber sales shall be deposited in the state parks renewal and stewardship account created in RCW 79A.05.215.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state parks and recreation commission must conduct a survey of facilities within state parks that may be used for outdoor educational purposes.</w:t>
      </w:r>
    </w:p>
    <w:p>
      <w:pPr>
        <w:spacing w:before="0" w:after="0" w:line="408" w:lineRule="exact"/>
        <w:ind w:left="0" w:right="0" w:firstLine="576"/>
        <w:jc w:val="left"/>
      </w:pPr>
      <w:r>
        <w:rPr/>
        <w:t xml:space="preserve">(2) In conducting the survey, the state parks and recreation commission must assess:</w:t>
      </w:r>
    </w:p>
    <w:p>
      <w:pPr>
        <w:spacing w:before="0" w:after="0" w:line="408" w:lineRule="exact"/>
        <w:ind w:left="0" w:right="0" w:firstLine="576"/>
        <w:jc w:val="left"/>
      </w:pPr>
      <w:r>
        <w:rPr/>
        <w:t xml:space="preserve">(a) Current policies and use of state park retreat centers and environmental learning centers;</w:t>
      </w:r>
    </w:p>
    <w:p>
      <w:pPr>
        <w:spacing w:before="0" w:after="0" w:line="408" w:lineRule="exact"/>
        <w:ind w:left="0" w:right="0" w:firstLine="576"/>
        <w:jc w:val="left"/>
      </w:pPr>
      <w:r>
        <w:rPr/>
        <w:t xml:space="preserve">(b) The needs of the office of the superintendent of public instruction, school districts, outdoor learning program providers, and tribes for outdoor learning facilities, including state park retreat centers and environmental learning centers;</w:t>
      </w:r>
    </w:p>
    <w:p>
      <w:pPr>
        <w:spacing w:before="0" w:after="0" w:line="408" w:lineRule="exact"/>
        <w:ind w:left="0" w:right="0" w:firstLine="576"/>
        <w:jc w:val="left"/>
      </w:pPr>
      <w:r>
        <w:rPr/>
        <w:t xml:space="preserve">(c) The current condition of and necessary upgrades to state park retreat centers and environmental learning centers;</w:t>
      </w:r>
    </w:p>
    <w:p>
      <w:pPr>
        <w:spacing w:before="0" w:after="0" w:line="408" w:lineRule="exact"/>
        <w:ind w:left="0" w:right="0" w:firstLine="576"/>
        <w:jc w:val="left"/>
      </w:pPr>
      <w:r>
        <w:rPr/>
        <w:t xml:space="preserve">(d) The development of dedicated funding to support upgrades to state park retreat centers and environmental learning centers; and</w:t>
      </w:r>
    </w:p>
    <w:p>
      <w:pPr>
        <w:spacing w:before="0" w:after="0" w:line="408" w:lineRule="exact"/>
        <w:ind w:left="0" w:right="0" w:firstLine="576"/>
        <w:jc w:val="left"/>
      </w:pPr>
      <w:r>
        <w:rPr/>
        <w:t xml:space="preserve">(e) Best practices and considerations for the development, maintenance, and use of outdoor learning facilities.</w:t>
      </w:r>
    </w:p>
    <w:p>
      <w:pPr>
        <w:spacing w:before="0" w:after="0" w:line="408" w:lineRule="exact"/>
        <w:ind w:left="0" w:right="0" w:firstLine="576"/>
        <w:jc w:val="left"/>
      </w:pPr>
      <w:r>
        <w:rPr/>
        <w:t xml:space="preserve">(3) The state parks and recreation commission must submit a report on the outcomes of the completed survey to the appropriate committees of the legislature by December 1, 2024.</w:t>
      </w:r>
    </w:p>
    <w:p>
      <w:pPr>
        <w:spacing w:before="0" w:after="0" w:line="408" w:lineRule="exact"/>
        <w:ind w:left="0" w:right="0" w:firstLine="576"/>
        <w:jc w:val="left"/>
      </w:pPr>
      <w:r>
        <w:rPr/>
        <w:t xml:space="preserve">(4) The state parks and recreation commission may contract for all or a portion of the survey required in this section.</w:t>
      </w:r>
    </w:p>
    <w:p/>
    <w:p>
      <w:pPr>
        <w:jc w:val="center"/>
      </w:pPr>
      <w:r>
        <w:rPr>
          <w:b/>
        </w:rPr>
        <w:t>--- END ---</w:t>
      </w:r>
    </w:p>
    <w:sectPr>
      <w:pgNumType w:start="1"/>
      <w:footerReference xmlns:r="http://schemas.openxmlformats.org/officeDocument/2006/relationships" r:id="Rf1fbf2a229b34b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234d49c9e34401" /><Relationship Type="http://schemas.openxmlformats.org/officeDocument/2006/relationships/footer" Target="/word/footer1.xml" Id="Rf1fbf2a229b34b4c" /></Relationships>
</file>