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9e4fd286a4077" /></Relationships>
</file>

<file path=word/document.xml><?xml version="1.0" encoding="utf-8"?>
<w:document xmlns:w="http://schemas.openxmlformats.org/wordprocessingml/2006/main">
  <w:body>
    <w:p>
      <w:r>
        <w:t>Z-0559.1</w:t>
      </w:r>
    </w:p>
    <w:p>
      <w:pPr>
        <w:jc w:val="center"/>
      </w:pPr>
      <w:r>
        <w:t>_______________________________________________</w:t>
      </w:r>
    </w:p>
    <w:p/>
    <w:p>
      <w:pPr>
        <w:jc w:val="center"/>
      </w:pPr>
      <w:r>
        <w:rPr>
          <w:b/>
        </w:rPr>
        <w:t>HOUSE BILL 2147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Chapman, Schmick, and Reeves; by request of Department of Agriculture</w:t>
      </w:r>
    </w:p>
    <w:p/>
    <w:p>
      <w:r>
        <w:rPr>
          <w:t xml:space="preserve">Prefiled 01/04/24.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pest and disease response; amending RCW 17.24.171; adding new sections to chapter 43.23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received pursuant to section 3 of this act,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issuance of a declaration of emergency under RCW 17.24.171 or a quarantine order under RCW 16.36.010 or 17.24.041, the state treasurer shall transfer from the general fund to the agricultural pest and disease response account created in section 2 of this act those amounts necessary to bring the balance of the agricultural pest and disease response account to $2,000,000, based upon the determination of the transfer amount from the office of financial management. The office of financial management must determine the fund balance of the agricultural pest and disease response account as of the previous fiscal month before the issuance of a declaration of emergency or a quarantine order.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43.23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45ccffd5d9b44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80fd8ddec4475" /><Relationship Type="http://schemas.openxmlformats.org/officeDocument/2006/relationships/footer" Target="/word/footer1.xml" Id="R145ccffd5d9b44e1" /></Relationships>
</file>