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4bc57b4f2486c" /></Relationships>
</file>

<file path=word/document.xml><?xml version="1.0" encoding="utf-8"?>
<w:document xmlns:w="http://schemas.openxmlformats.org/wordprocessingml/2006/main">
  <w:body>
    <w:p>
      <w:r>
        <w:t>H-2655.2</w:t>
      </w:r>
    </w:p>
    <w:p>
      <w:pPr>
        <w:jc w:val="center"/>
      </w:pPr>
      <w:r>
        <w:t>_______________________________________________</w:t>
      </w:r>
    </w:p>
    <w:p/>
    <w:p>
      <w:pPr>
        <w:jc w:val="center"/>
      </w:pPr>
      <w:r>
        <w:rPr>
          <w:b/>
        </w:rPr>
        <w:t>SUBSTITUTE HOUSE BILL 2160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Reed, Fey, Mena, Alvarado, Berry, Bateman, Ormsby, Ramel, Macri, Street, Peterson, Gregerson, Ryu, Cortes, Riccelli, Doglio, and Pollet; by request of Office of the Governor)</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community and transit-oriented housing development; amending RCW 36.70A.500, 36.70A.620, and 43.21C.229; reenacting and amending RCW 36.70A.030; adding a new section to chapter 47.01 RCW; adding new sections to chapter 36.70A RCW; adding a new section to chapter 44.28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allow housing development to keep pace with progress being implemented in transportation infrastructure development. The legislature also intends new development to reflect the state's commitment to affordable housing and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and designate a liaison to serve as a point of contact and resource for the department, local governments, and project proponents regarding land use decisions and processing development permit applications. The liaison's priority must be to facilitate and expedite any department decisions required for project approval.</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w:t>
      </w:r>
      <w:r>
        <w:rPr>
          <w:u w:val="single"/>
        </w:rPr>
        <w:t xml:space="preserve">"Floor area ratio" means a measure of development intensity equal to building square footage divided by the developable property square footage. Developable property excludes public facilities and portions of lots with critical areas and critical area buffers as designated in RCW 36.70A.060, except for critical aquifer recharge areas where a single-family detached house is an allowed use provided that any requirements to maintain aquifer recharge are met.</w:t>
      </w:r>
    </w:p>
    <w:p>
      <w:pPr>
        <w:spacing w:before="0" w:after="0" w:line="408" w:lineRule="exact"/>
        <w:ind w:left="0" w:right="0" w:firstLine="576"/>
        <w:jc w:val="left"/>
      </w:pPr>
      <w:r>
        <w:rPr>
          <w:u w:val="single"/>
        </w:rPr>
        <w:t xml:space="preserve">(19)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"Minerals" include gravel, sand, and valuable metallic substances.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"Single-family zones" means those zones where single-family detached housing is the predominant land use.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t>((</w:t>
      </w:r>
      <w:r>
        <w:rPr>
          <w:strike/>
        </w:rPr>
        <w:t xml:space="preserve">(41)</w:t>
      </w:r>
      <w:r>
        <w:t>))</w:t>
      </w:r>
      <w:r>
        <w:rPr/>
        <w:t xml:space="preserve"> </w:t>
      </w:r>
      <w:r>
        <w:rPr>
          <w:u w:val="single"/>
        </w:rPr>
        <w:t xml:space="preserve">(42) "Station area" means all lots that are:</w:t>
      </w:r>
    </w:p>
    <w:p>
      <w:pPr>
        <w:spacing w:before="0" w:after="0" w:line="408" w:lineRule="exact"/>
        <w:ind w:left="0" w:right="0" w:firstLine="576"/>
        <w:jc w:val="left"/>
      </w:pPr>
      <w:r>
        <w:rPr>
          <w:u w:val="single"/>
        </w:rPr>
        <w:t xml:space="preserve">(a) Fully within an urban growth area; and</w:t>
      </w:r>
    </w:p>
    <w:p>
      <w:pPr>
        <w:spacing w:before="0" w:after="0" w:line="408" w:lineRule="exact"/>
        <w:ind w:left="0" w:right="0" w:firstLine="576"/>
        <w:jc w:val="left"/>
      </w:pPr>
      <w:r>
        <w:rPr>
          <w:u w:val="single"/>
        </w:rPr>
        <w:t xml:space="preserve">(b) Fully or partially within:</w:t>
      </w:r>
    </w:p>
    <w:p>
      <w:pPr>
        <w:spacing w:before="0" w:after="0" w:line="408" w:lineRule="exact"/>
        <w:ind w:left="0" w:right="0" w:firstLine="576"/>
        <w:jc w:val="left"/>
      </w:pPr>
      <w:r>
        <w:rPr>
          <w:u w:val="single"/>
        </w:rPr>
        <w:t xml:space="preserve">(i) One-half mile walking distance of an entrance to a train station with a stop on a light rail system, a commuter rail stop, or a stop on rail or fixed guideway systems; or</w:t>
      </w:r>
    </w:p>
    <w:p>
      <w:pPr>
        <w:spacing w:before="0" w:after="0" w:line="408" w:lineRule="exact"/>
        <w:ind w:left="0" w:right="0" w:firstLine="576"/>
        <w:jc w:val="left"/>
      </w:pPr>
      <w:r>
        <w:rPr>
          <w:u w:val="single"/>
        </w:rPr>
        <w:t xml:space="preserve">(ii) One-quarter mile walking distance of a stop on a fixed route bus system that is funded in part or in full by the United States department of transportation funding for bus rapid transit and features fixed transit assets that indicate permanent, high capacity service including, but not limited to, elevated platforms or enhanced stations, off-board fare collection, dedicated lanes, busways, or traffic signal priority.</w:t>
      </w:r>
    </w:p>
    <w:p>
      <w:pPr>
        <w:spacing w:before="0" w:after="0" w:line="408" w:lineRule="exact"/>
        <w:ind w:left="0" w:right="0" w:firstLine="576"/>
        <w:jc w:val="left"/>
      </w:pPr>
      <w:r>
        <w:rPr>
          <w:u w:val="single"/>
        </w:rPr>
        <w:t xml:space="preserve">(43)</w:t>
      </w:r>
      <w:r>
        <w:rPr/>
        <w:t xml:space="preserve">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an entrance to a train station with a stop on a light rail system, a commuter rail stop, or a stop on rail or fixed guideway systems; and</w:t>
      </w:r>
    </w:p>
    <w:p>
      <w:pPr>
        <w:spacing w:before="0" w:after="0" w:line="408" w:lineRule="exact"/>
        <w:ind w:left="0" w:right="0" w:firstLine="576"/>
        <w:jc w:val="left"/>
      </w:pPr>
      <w:r>
        <w:rPr/>
        <w:t xml:space="preserve">(ii) At least 2.5 floor area ratio, on average, within one-quarter mile walking distance of a stop on a fixed route bus system that is funded in part or in full by the United States department of transportation funding for bus rapid transit and features fixed transit assets that indicate permanent, high capacity service including, but not limited to, elevated platforms or enhanced stations, off-board fare collection, dedicated lanes, busways, or traffic signal priority.</w:t>
      </w:r>
    </w:p>
    <w:p>
      <w:pPr>
        <w:spacing w:before="0" w:after="0" w:line="408" w:lineRule="exact"/>
        <w:ind w:left="0" w:right="0" w:firstLine="576"/>
        <w:jc w:val="left"/>
      </w:pPr>
      <w:r>
        <w:rPr/>
        <w:t xml:space="preserve">(b) A city planning under RCW 36.70A.040 may adopt a modification to a station area designation, but only after consultation with and approval by the department.</w:t>
      </w:r>
    </w:p>
    <w:p>
      <w:pPr>
        <w:spacing w:before="0" w:after="0" w:line="408" w:lineRule="exact"/>
        <w:ind w:left="0" w:right="0" w:firstLine="576"/>
        <w:jc w:val="left"/>
      </w:pPr>
      <w:r>
        <w:rPr/>
        <w:t xml:space="preserve">(c)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"Mixed-use development" means a building with more than 50 percent of the gross floor area dedicated to residential uses.</w:t>
      </w:r>
    </w:p>
    <w:p>
      <w:pPr>
        <w:spacing w:before="0" w:after="0" w:line="408" w:lineRule="exact"/>
        <w:ind w:left="0" w:right="0" w:firstLine="576"/>
        <w:jc w:val="left"/>
      </w:pPr>
      <w:r>
        <w:rPr/>
        <w:t xml:space="preserve">(b) "Stop" includes any existing stop and any stop funded for development and projected for construction within an applicable six-year transit plan under RCW 35.58.2795. "Stop" does not include a stop used exclusively for bus service, including express bus service operated by a regional transit agency as defined under chapter 81.104 RCW and trolley buses, unless the stop also serves a fixed route bus system that is funded in part or in full by the United States department of transportation funding for bus rapid transit and features fixed transit assets that indicate permanent, high capacity service including, but not limited to, elevated platforms or enhanced stations, off-board fare collection, dedicated lanes, busways, or traffic signal priority.</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 Within any station area, any building in which all units are affordable housing for at least 50 years or are dedicated to permanent supportive housing, an additional 1.5 floor area ratio in excess of the transit-oriented development density required under subsection (2)(a) of this section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(6)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(7)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(8) At least 10 percent of all residential units in buildings constructed within a station area must be maintained as affordable housing for at least 50 years,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2024;</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2024;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either on-site or through an in-lieu payment as allowed by RCW 36.70A.540,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(8)(c).</w:t>
      </w:r>
    </w:p>
    <w:p>
      <w:pPr>
        <w:spacing w:before="0" w:after="0" w:line="408" w:lineRule="exact"/>
        <w:ind w:left="0" w:right="0" w:firstLine="576"/>
        <w:jc w:val="left"/>
      </w:pPr>
      <w:r>
        <w:rPr/>
        <w:t xml:space="preserve">(9) A city that has enacted an incentive program prior to January 1, 2024, that requires public benefits, such as school capacity, greater amounts of affordable housing, green space, or green infrastructure, in return for additional height or floor area ratio, may continue to require such public benefits if complying with the requirements of this section provides additional development capacity that would have triggered the public benefits requirements.</w:t>
      </w:r>
    </w:p>
    <w:p>
      <w:pPr>
        <w:spacing w:before="0" w:after="0" w:line="408" w:lineRule="exact"/>
        <w:ind w:left="0" w:right="0" w:firstLine="576"/>
        <w:jc w:val="left"/>
      </w:pPr>
      <w:r>
        <w:rPr/>
        <w:t xml:space="preserve">(10)(a) No later than the deadlines established in subsection (16) of this section, cities planning under RCW 36.70A.040 must act to modify or repeal any existing development regulations applicable in a station area that, alone or in combination, are inconsistent with this section, and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(b) This subsection (10)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(11) Any city subject to the requirements of this section may apply to the department for planning grants and consult with the department for purposes of obtaining technical assistance and compliance review with development regulation adoption, pursuant to RCW 36.70A.500(7).</w:t>
      </w:r>
    </w:p>
    <w:p>
      <w:pPr>
        <w:spacing w:before="0" w:after="0" w:line="408" w:lineRule="exact"/>
        <w:ind w:left="0" w:right="0" w:firstLine="576"/>
        <w:jc w:val="left"/>
      </w:pPr>
      <w:r>
        <w:rPr/>
        <w:t xml:space="preserve">(12) Nothing in this section requires alteration, displacement, or limitation of industrial or agricultural uses or industrial, manufacturing, or agricultural areas within the urban growth area.</w:t>
      </w:r>
    </w:p>
    <w:p>
      <w:pPr>
        <w:spacing w:before="0" w:after="0" w:line="408" w:lineRule="exact"/>
        <w:ind w:left="0" w:right="0" w:firstLine="576"/>
        <w:jc w:val="left"/>
      </w:pPr>
      <w:r>
        <w:rPr/>
        <w:t xml:space="preserve">(13)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(14) Cities planning under RCW 36.70A.040 may exclude from the requirements in this section any portion of a lot that is designated as a shoreline environment governed by a shoreline master program or as a critical area governed by a critical area ordinance, except for critical aquifer recharge areas where a single-family detached house is an allowed use provided that any requirements to maintain aquifer recharge are met, and any lot that:</w:t>
      </w:r>
    </w:p>
    <w:p>
      <w:pPr>
        <w:spacing w:before="0" w:after="0" w:line="408" w:lineRule="exact"/>
        <w:ind w:left="0" w:right="0" w:firstLine="576"/>
        <w:jc w:val="left"/>
      </w:pPr>
      <w:r>
        <w:rPr/>
        <w:t xml:space="preserve">(a)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(b)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(c) Has been designated as containing urban separators by countywide planning policies as of the effective date of this section; or</w:t>
      </w:r>
    </w:p>
    <w:p>
      <w:pPr>
        <w:spacing w:before="0" w:after="0" w:line="408" w:lineRule="exact"/>
        <w:ind w:left="0" w:right="0" w:firstLine="576"/>
        <w:jc w:val="left"/>
      </w:pPr>
      <w:r>
        <w:rPr/>
        <w:t xml:space="preserve">(d) Is an industrial, manufacturing, or agricultural designated lot that either is limited to one dwelling unit per lot or only allows housing for individuals and their families responsible for caretaking, farm work, security, or maintenance. </w:t>
      </w:r>
    </w:p>
    <w:p>
      <w:pPr>
        <w:spacing w:before="0" w:after="0" w:line="408" w:lineRule="exact"/>
        <w:ind w:left="0" w:right="0" w:firstLine="576"/>
        <w:jc w:val="left"/>
      </w:pPr>
      <w:r>
        <w:rPr/>
        <w:t xml:space="preserve">(15) For cities subject to a growth target adopted under RCW 36.70A.210 that limits the maximum residential capacity of the jurisdiction, any additional residential capacity required by this section may not be considered an inconsistency with the countywide planning policies, multicounty planning policies, or growth targets adopted under RCW 36.70A.210.</w:t>
      </w:r>
    </w:p>
    <w:p>
      <w:pPr>
        <w:spacing w:before="0" w:after="0" w:line="408" w:lineRule="exact"/>
        <w:ind w:left="0" w:right="0" w:firstLine="576"/>
        <w:jc w:val="left"/>
      </w:pPr>
      <w:r>
        <w:rPr/>
        <w:t xml:space="preserve">(16)(a) Any city that is required to review its comprehensive plan by December 31, 2024, as specified in RCW 36.70A.130(5)(a), must comply with the requirements of this section by the earlier of December 31, 2029, or its first implementation progress report due after December 31, 2024, as specified in RCW 36.70A.130(9),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(b) Any city that is required to review its comprehensive plan after December 31, 2024, as specified in RCW 36.70A.130(5) (b), (c), or (d), must comply with the requirements of this section no later than six months after its first comprehensive plan update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(c) A federally recognized Indian tribe may voluntarily choose to participate in the planning process to implement the requirements of this section in accordance with RCW 36.70A.040(8).</w:t>
      </w:r>
    </w:p>
    <w:p>
      <w:pPr>
        <w:spacing w:before="0" w:after="0" w:line="408" w:lineRule="exact"/>
        <w:ind w:left="0" w:right="0" w:firstLine="576"/>
        <w:jc w:val="left"/>
      </w:pPr>
      <w:r>
        <w:rPr/>
        <w:t xml:space="preserve">(17)(a) The department must publish a model transit-oriented development ordinance no later than six months following the effective date of this section. </w:t>
      </w:r>
    </w:p>
    <w:p>
      <w:pPr>
        <w:spacing w:before="0" w:after="0" w:line="408" w:lineRule="exact"/>
        <w:ind w:left="0" w:right="0" w:firstLine="576"/>
        <w:jc w:val="left"/>
      </w:pPr>
      <w:r>
        <w:rPr/>
        <w:t xml:space="preserve">(b) In any city subject to this section that has not passed ordinances, regulations, or other official controls by the deadlines required under subsection (16) of this section, the model ordinance supersedes, preempts, and invalidates local development regulations until the city takes all actions necessary to implement this section. </w:t>
      </w:r>
    </w:p>
    <w:p>
      <w:pPr>
        <w:spacing w:before="0" w:after="0" w:line="408" w:lineRule="exact"/>
        <w:ind w:left="0" w:right="0" w:firstLine="576"/>
        <w:jc w:val="left"/>
      </w:pPr>
      <w:r>
        <w:rPr/>
        <w:t xml:space="preserve">(18) A city may seek an extension from the transit-oriented development density requirements of this section by applying to the department for an extension in any areas that are at high risk of displacement based on a city's antidisplacement analysis or an antidisplacement map. The department must review the city's analysis and certify a five-year extension from the requirements of this section for areas at high risk of displacement. The city must create an implementation plan that identifies the antidisplacement policies available to residents to mitigate displacement risk. During the extension, the city may delay implementation or enact alternative floor area ratio requirements within any areas at high risk of displacement. The department may recertify an extension for additional five-year periods based on evidence of ongoing displacement risk in the area.</w:t>
      </w:r>
    </w:p>
    <w:p>
      <w:pPr>
        <w:spacing w:before="0" w:after="0" w:line="408" w:lineRule="exact"/>
        <w:ind w:left="0" w:right="0" w:firstLine="576"/>
        <w:jc w:val="left"/>
      </w:pPr>
      <w:r>
        <w:rPr/>
        <w:t xml:space="preserve">(19)(a)(i) The department may approve actions under this subsection (19) for cities that have, by January 1, 2024,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(19) may be appealed to the growth management hearings board by filing a petition as provided in RCW 36.70A.290.</w:t>
      </w:r>
    </w:p>
    <w:p>
      <w:pPr>
        <w:spacing w:before="0" w:after="0" w:line="408" w:lineRule="exact"/>
        <w:ind w:left="0" w:right="0" w:firstLine="576"/>
        <w:jc w:val="left"/>
      </w:pPr>
      <w:r>
        <w:rPr/>
        <w:t xml:space="preserve">(20)(a)(i) No later than August 1, 2024,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of an organization advocating for nonprofit builders of affordable housing;</w:t>
      </w:r>
    </w:p>
    <w:p>
      <w:pPr>
        <w:spacing w:before="0" w:after="0" w:line="408" w:lineRule="exact"/>
        <w:ind w:left="0" w:right="0" w:firstLine="576"/>
        <w:jc w:val="left"/>
      </w:pPr>
      <w:r>
        <w:rPr/>
        <w:t xml:space="preserve">(H) A representative from a development industry association; and</w:t>
      </w:r>
    </w:p>
    <w:p>
      <w:pPr>
        <w:spacing w:before="0" w:after="0" w:line="408" w:lineRule="exact"/>
        <w:ind w:left="0" w:right="0" w:firstLine="576"/>
        <w:jc w:val="left"/>
      </w:pPr>
      <w:r>
        <w:rPr/>
        <w:t xml:space="preserve">(I)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2025, the work group must submit a report of its findings and recommendations to the department.</w:t>
      </w:r>
    </w:p>
    <w:p>
      <w:pPr>
        <w:spacing w:before="0" w:after="0" w:line="408" w:lineRule="exact"/>
        <w:ind w:left="0" w:right="0" w:firstLine="576"/>
        <w:jc w:val="left"/>
      </w:pPr>
      <w:r>
        <w:rPr/>
        <w:t xml:space="preserve">(b) No later than October 15, 2025, the department shall develop, and make available to cities, antidisplacement guiding principles and a list of potential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Subject to appropriation, the department must establish and administer a capital grant program to assist cities in providing the infrastructure necessary to accommodate development at transit-oriented development densities within station areas, including water, sewer, stormwater, and transportation infrastructure and parks and recreation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review jurisdictions' experiences with:</w:t>
      </w:r>
    </w:p>
    <w:p>
      <w:pPr>
        <w:spacing w:before="0" w:after="0" w:line="408" w:lineRule="exact"/>
        <w:ind w:left="0" w:right="0" w:firstLine="576"/>
        <w:jc w:val="left"/>
      </w:pPr>
      <w:r>
        <w:rPr/>
        <w:t xml:space="preserve">(a) The effects of the 10 percent affordable housing requirement under section 4 of this act;</w:t>
      </w:r>
    </w:p>
    <w:p>
      <w:pPr>
        <w:spacing w:before="0" w:after="0" w:line="408" w:lineRule="exact"/>
        <w:ind w:left="0" w:right="0" w:firstLine="576"/>
        <w:jc w:val="left"/>
      </w:pPr>
      <w:r>
        <w:rPr/>
        <w:t xml:space="preserve">(b) In-lieu payment options for affordable housing requirements, including how such payments were structured and the amount of housing created using in-lieu payments; and</w:t>
      </w:r>
    </w:p>
    <w:p>
      <w:pPr>
        <w:spacing w:before="0" w:after="0" w:line="408" w:lineRule="exact"/>
        <w:ind w:left="0" w:right="0" w:firstLine="576"/>
        <w:jc w:val="left"/>
      </w:pPr>
      <w:r>
        <w:rPr/>
        <w:t xml:space="preserve">(c) Requirements for transit-oriented development density around fixed route transit stops providing frequent bus service.</w:t>
      </w:r>
    </w:p>
    <w:p>
      <w:pPr>
        <w:spacing w:before="0" w:after="0" w:line="408" w:lineRule="exact"/>
        <w:ind w:left="0" w:right="0" w:firstLine="576"/>
        <w:jc w:val="left"/>
      </w:pPr>
      <w:r>
        <w:rPr/>
        <w:t xml:space="preserve">(2) In evaluating the impacts under this section, the joint committee must conduct case studies that consider the following factors:</w:t>
      </w:r>
    </w:p>
    <w:p>
      <w:pPr>
        <w:spacing w:before="0" w:after="0" w:line="408" w:lineRule="exact"/>
        <w:ind w:left="0" w:right="0" w:firstLine="576"/>
        <w:jc w:val="left"/>
      </w:pPr>
      <w:r>
        <w:rPr/>
        <w:t xml:space="preserve">(a) The effects on housing supply, including the supply of affordable housing;</w:t>
      </w:r>
    </w:p>
    <w:p>
      <w:pPr>
        <w:spacing w:before="0" w:after="0" w:line="408" w:lineRule="exact"/>
        <w:ind w:left="0" w:right="0" w:firstLine="576"/>
        <w:jc w:val="left"/>
      </w:pPr>
      <w:r>
        <w:rPr/>
        <w:t xml:space="preserve">(b) The implementation of transit-oriented development density regulations; and</w:t>
      </w:r>
    </w:p>
    <w:p>
      <w:pPr>
        <w:spacing w:before="0" w:after="0" w:line="408" w:lineRule="exact"/>
        <w:ind w:left="0" w:right="0" w:firstLine="576"/>
        <w:jc w:val="left"/>
      </w:pPr>
      <w:r>
        <w:rPr/>
        <w:t xml:space="preserve">(c) How statewide transit-oriented development density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 of commerce;</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0" w:after="0" w:line="408" w:lineRule="exact"/>
        <w:ind w:left="0" w:right="0" w:firstLine="576"/>
        <w:jc w:val="left"/>
      </w:pPr>
      <w:r>
        <w:rPr/>
        <w:t xml:space="preserve">(4) The joint committee must complete the review and evaluation required under this section by June 30,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w:t>
      </w:r>
      <w:r>
        <w:t>((</w:t>
      </w:r>
      <w:r>
        <w:rPr>
          <w:strike/>
        </w:rPr>
        <w:t xml:space="preserve">or</w:t>
      </w:r>
      <w:r>
        <w:t>))</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r>
        <w:rPr>
          <w:u w:val="single"/>
        </w:rPr>
        <w:t xml:space="preserve">;</w:t>
      </w:r>
    </w:p>
    <w:p>
      <w:pPr>
        <w:spacing w:before="0" w:after="0" w:line="408" w:lineRule="exact"/>
        <w:ind w:left="0" w:right="0" w:firstLine="576"/>
        <w:jc w:val="left"/>
      </w:pPr>
      <w:r>
        <w:rPr>
          <w:u w:val="single"/>
        </w:rPr>
        <w:t xml:space="preserve">(i) Plans that implement or comply with antidisplacement policies; or</w:t>
      </w:r>
    </w:p>
    <w:p>
      <w:pPr>
        <w:spacing w:before="0" w:after="0" w:line="408" w:lineRule="exact"/>
        <w:ind w:left="0" w:right="0" w:firstLine="576"/>
        <w:jc w:val="left"/>
      </w:pPr>
      <w:r>
        <w:rPr>
          <w:u w:val="single"/>
        </w:rPr>
        <w:t xml:space="preserve">(j) Plans that address infrastructure needs in station areas</w:t>
      </w:r>
      <w:r>
        <w:rPr/>
        <w:t xml:space="preserve">.</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amounts appropriated to the growth management planning and environmental review fund established in RCW 36.70A.490, the department may:</w:t>
      </w:r>
    </w:p>
    <w:p>
      <w:pPr>
        <w:spacing w:before="0" w:after="0" w:line="408" w:lineRule="exact"/>
        <w:ind w:left="0" w:right="0" w:firstLine="576"/>
        <w:jc w:val="left"/>
      </w:pPr>
      <w:r>
        <w:rPr>
          <w:u w:val="single"/>
        </w:rPr>
        <w:t xml:space="preserve">(i) Award grants to cities to facilitate transit-oriented development consistent with subsection (8) of this section. Cities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 and</w:t>
      </w:r>
    </w:p>
    <w:p>
      <w:pPr>
        <w:spacing w:before="0" w:after="0" w:line="408" w:lineRule="exact"/>
        <w:ind w:left="0" w:right="0" w:firstLine="576"/>
        <w:jc w:val="left"/>
      </w:pPr>
      <w:r>
        <w:rPr>
          <w:u w:val="single"/>
        </w:rPr>
        <w:t xml:space="preserve">(ii) Provide technical assistance and award planning grants to cities to implement the requirements under section 4 of this act and provide compliance review of any transit-oriented development regulations adopted consistent with section 4 of this act.</w:t>
      </w:r>
    </w:p>
    <w:p>
      <w:pPr>
        <w:spacing w:before="0" w:after="0" w:line="408" w:lineRule="exact"/>
        <w:ind w:left="0" w:right="0" w:firstLine="576"/>
        <w:jc w:val="left"/>
      </w:pPr>
      <w:r>
        <w:rPr>
          <w:u w:val="single"/>
        </w:rPr>
        <w:t xml:space="preserve">(b) Grant awards under (a)(i) of this subsection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under subsection (7)(a)(i) of this section that maximize the following policy principles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w:t>
      </w:r>
    </w:p>
    <w:p>
      <w:pPr>
        <w:spacing w:before="0" w:after="0" w:line="408" w:lineRule="exact"/>
        <w:ind w:left="0" w:right="0" w:firstLine="576"/>
        <w:jc w:val="left"/>
      </w:pPr>
      <w:r>
        <w:rPr>
          <w:u w:val="single"/>
        </w:rPr>
        <w:t xml:space="preserve">(b) The proximity and quality of transit access in the area. For purposes of this subsection, "transit access" includes walkable access to light rail, other fixed guideway rail systems, and fixed route bus systems that are funded in part or in full by the United States department of transportation funding for bus rapid transit and feature fixed transit assets that indicate permanent, high capacity service including, but not limited to, elevated platforms or enhanced stations, off-board fare collection, dedicated lanes, busways, or traffic signal priority;</w:t>
      </w:r>
    </w:p>
    <w:p>
      <w:pPr>
        <w:spacing w:before="0" w:after="0" w:line="408" w:lineRule="exact"/>
        <w:ind w:left="0" w:right="0" w:firstLine="576"/>
        <w:jc w:val="left"/>
      </w:pPr>
      <w:r>
        <w:rPr>
          <w:u w:val="single"/>
        </w:rPr>
        <w:t xml:space="preserve">(c) Plans that exceed applicable transit-oriented development densities for station areas;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To encourage transit-oriented development and transit use and resulting substantial environmental benefits, cities planning under RCW 36.70A.040 may not require off-street automobile parking as a condition of permitting residential or mixed-use development within a station area as defined in RCW 36.70A.030, except for off-street automobile parking that is permanently marked for the exclusive use of individuals with disabilities or parking that is permanently marked for the short-term exclusive use of delivery vehicles.</w:t>
      </w:r>
    </w:p>
    <w:p>
      <w:pPr>
        <w:spacing w:before="0" w:after="0" w:line="408" w:lineRule="exact"/>
        <w:ind w:left="0" w:right="0" w:firstLine="576"/>
        <w:jc w:val="left"/>
      </w:pPr>
      <w:r>
        <w:rPr>
          <w:u w:val="single"/>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u w:val="single"/>
        </w:rPr>
        <w:t xml:space="preserve">(3) The parking provisions of this section do not apply:</w:t>
      </w:r>
    </w:p>
    <w:p>
      <w:pPr>
        <w:spacing w:before="0" w:after="0" w:line="408" w:lineRule="exact"/>
        <w:ind w:left="0" w:right="0" w:firstLine="576"/>
        <w:jc w:val="left"/>
      </w:pPr>
      <w:r>
        <w:rPr>
          <w:u w:val="single"/>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automobile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u w:val="single"/>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u w:val="single"/>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u w:val="single"/>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u w:val="single"/>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(b)(ii) of this subsection (3).</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w:t>
      </w:r>
      <w:r>
        <w:rPr>
          <w:u w:val="single"/>
        </w:rPr>
        <w:t xml:space="preserve">All project actions that propose to develop residential or mixed-use development within a station area are categorically exempt from the requirements of this chapter.</w:t>
      </w:r>
    </w:p>
    <w:p>
      <w:pPr>
        <w:spacing w:before="0" w:after="0" w:line="408" w:lineRule="exact"/>
        <w:ind w:left="0" w:right="0" w:firstLine="576"/>
        <w:jc w:val="left"/>
      </w:pPr>
      <w:r>
        <w:rPr>
          <w:u w:val="single"/>
        </w:rPr>
        <w:t xml:space="preserve">(6)</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
      <w:pPr>
        <w:jc w:val="center"/>
      </w:pPr>
      <w:r>
        <w:rPr>
          <w:b/>
        </w:rPr>
        <w:t>--- END ---</w:t>
      </w:r>
    </w:p>
    <w:sectPr>
      <w:pgNumType w:start="1"/>
      <w:footerReference xmlns:r="http://schemas.openxmlformats.org/officeDocument/2006/relationships" r:id="R06dfcc0c16ad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798d3b30d471e" /><Relationship Type="http://schemas.openxmlformats.org/officeDocument/2006/relationships/footer" Target="/word/footer1.xml" Id="R06dfcc0c16ad4994" /></Relationships>
</file>