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9390aeb084f3b" /></Relationships>
</file>

<file path=word/document.xml><?xml version="1.0" encoding="utf-8"?>
<w:document xmlns:w="http://schemas.openxmlformats.org/wordprocessingml/2006/main">
  <w:body>
    <w:p>
      <w:r>
        <w:t>Z-0505.1</w:t>
      </w:r>
    </w:p>
    <w:p>
      <w:pPr>
        <w:jc w:val="center"/>
      </w:pPr>
      <w:r>
        <w:t>_______________________________________________</w:t>
      </w:r>
    </w:p>
    <w:p/>
    <w:p>
      <w:pPr>
        <w:jc w:val="center"/>
      </w:pPr>
      <w:r>
        <w:rPr>
          <w:b/>
        </w:rPr>
        <w:t>HOUSE BILL 2208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Harris and Bateman; by request of Department of Social and Health Services</w:t>
      </w:r>
    </w:p>
    <w:p/>
    <w:p>
      <w:r>
        <w:rPr>
          <w:t xml:space="preserve">Read first time 01/09/24.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in calculation of nursing rates for the purposes of implementing new centers for medicare and medicaid services data; amending RCW 74.46.485, 74.46.496, and 74.46.501; and reenacting and amending RCW 74.46.020.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2016 c 131 s 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 component" means a fair market rental system that sets a price per nursing facility bed.</w:t>
      </w:r>
    </w:p>
    <w:p>
      <w:pPr>
        <w:spacing w:before="0" w:after="0" w:line="408" w:lineRule="exact"/>
        <w:ind w:left="0" w:right="0" w:firstLine="576"/>
        <w:jc w:val="left"/>
      </w:pPr>
      <w:r>
        <w:rPr/>
        <w:t xml:space="preserve">(6) "Capitalization" means the recording of an expenditure as an asset.</w:t>
      </w:r>
    </w:p>
    <w:p>
      <w:pPr>
        <w:spacing w:before="0" w:after="0" w:line="408" w:lineRule="exact"/>
        <w:ind w:left="0" w:right="0" w:firstLine="576"/>
        <w:jc w:val="left"/>
      </w:pPr>
      <w:r>
        <w:rPr/>
        <w:t xml:space="preserve">(7)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(8) "Case mix index" means a number representing the average case mix of a nursing facility.</w:t>
      </w:r>
    </w:p>
    <w:p>
      <w:pPr>
        <w:spacing w:before="0" w:after="0" w:line="408" w:lineRule="exact"/>
        <w:ind w:left="0" w:right="0" w:firstLine="576"/>
        <w:jc w:val="left"/>
      </w:pPr>
      <w:r>
        <w:rPr/>
        <w:t xml:space="preserve">(9)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(10)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rPr/>
        <w:t xml:space="preserve">(11)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rPr/>
        <w:t xml:space="preserve">(12) "Department" means the department of social and health services (DSHS) and its employees.</w:t>
      </w:r>
    </w:p>
    <w:p>
      <w:pPr>
        <w:spacing w:before="0" w:after="0" w:line="408" w:lineRule="exact"/>
        <w:ind w:left="0" w:right="0" w:firstLine="576"/>
        <w:jc w:val="left"/>
      </w:pPr>
      <w:r>
        <w:rPr/>
        <w:t xml:space="preserve">(13) "Depreciation" means the systematic distribution of the cost or other basis of tangible assets, less salvage, over the estimated useful life of the assets.</w:t>
      </w:r>
    </w:p>
    <w:p>
      <w:pPr>
        <w:spacing w:before="0" w:after="0" w:line="408" w:lineRule="exact"/>
        <w:ind w:left="0" w:right="0" w:firstLine="576"/>
        <w:jc w:val="left"/>
      </w:pPr>
      <w:r>
        <w:rPr/>
        <w:t xml:space="preserve">(14) "Direct care component" means nursing care and related care provided to nursing facility residents and includes the therapy care component, along with food, laundry, and dietary services of the previous system.</w:t>
      </w:r>
    </w:p>
    <w:p>
      <w:pPr>
        <w:spacing w:before="0" w:after="0" w:line="408" w:lineRule="exact"/>
        <w:ind w:left="0" w:right="0" w:firstLine="576"/>
        <w:jc w:val="left"/>
      </w:pPr>
      <w:r>
        <w:rPr/>
        <w:t xml:space="preserve">(15) "Direct care supplies" means medical, pharmaceutical, and other supplies required for the direct care of a nursing facility's residents.</w:t>
      </w:r>
    </w:p>
    <w:p>
      <w:pPr>
        <w:spacing w:before="0" w:after="0" w:line="408" w:lineRule="exact"/>
        <w:ind w:left="0" w:right="0" w:firstLine="576"/>
        <w:jc w:val="left"/>
      </w:pPr>
      <w:r>
        <w:rPr/>
        <w:t xml:space="preserve">(16)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rPr/>
        <w:t xml:space="preserve">(17)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rPr/>
        <w:t xml:space="preserve">(18)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rPr/>
        <w:t xml:space="preserve">(19)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rPr/>
        <w:t xml:space="preserve">(20) "Fair market value" means the replacement cost of an asset less observed physical depreciation on the date for which the market value is being determined.</w:t>
      </w:r>
    </w:p>
    <w:p>
      <w:pPr>
        <w:spacing w:before="0" w:after="0" w:line="408" w:lineRule="exact"/>
        <w:ind w:left="0" w:right="0" w:firstLine="576"/>
        <w:jc w:val="left"/>
      </w:pPr>
      <w:r>
        <w:rPr/>
        <w:t xml:space="preserve">(21)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rPr/>
        <w:t xml:space="preserve">(22) "Generally accepted accounting principles" means accounting principles approved by the financial accounting standards board (FASB) or its successor.</w:t>
      </w:r>
    </w:p>
    <w:p>
      <w:pPr>
        <w:spacing w:before="0" w:after="0" w:line="408" w:lineRule="exact"/>
        <w:ind w:left="0" w:right="0" w:firstLine="576"/>
        <w:jc w:val="left"/>
      </w:pPr>
      <w:r>
        <w:rPr/>
        <w:t xml:space="preserve">(23)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rPr/>
        <w:t xml:space="preserve">(24)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rPr/>
        <w:t xml:space="preserve">(25)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rPr/>
        <w:t xml:space="preserve">(26)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rPr/>
        <w:t xml:space="preserve">(27) "Indirect care component" means the elements of administrative expenses, maintenance costs, taxes, and housekeeping services from the previous system.</w:t>
      </w:r>
    </w:p>
    <w:p>
      <w:pPr>
        <w:spacing w:before="0" w:after="0" w:line="408" w:lineRule="exact"/>
        <w:ind w:left="0" w:right="0" w:firstLine="576"/>
        <w:jc w:val="left"/>
      </w:pPr>
      <w:r>
        <w:rPr/>
        <w:t xml:space="preserve">(28)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rPr/>
        <w:t xml:space="preserve">(29)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rPr/>
        <w:t xml:space="preserve">(30)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rPr/>
        <w:t xml:space="preserve">(31)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rPr/>
        <w:t xml:space="preserve">(32)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rPr/>
        <w:t xml:space="preserve">(33) "Net book value" means the historical cost of an asset less accumulated depreciation.</w:t>
      </w:r>
    </w:p>
    <w:p>
      <w:pPr>
        <w:spacing w:before="0" w:after="0" w:line="408" w:lineRule="exact"/>
        <w:ind w:left="0" w:right="0" w:firstLine="576"/>
        <w:jc w:val="left"/>
      </w:pPr>
      <w:r>
        <w:rPr/>
        <w:t xml:space="preserve">(34)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rPr/>
        <w:t xml:space="preserve">(35)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t xml:space="preserve">(36)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rPr/>
        <w:t xml:space="preserve">(37)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rPr/>
        <w:t xml:space="preserve">(38)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rPr/>
        <w:t xml:space="preserve">(39) "Quality enhancement component" means a rate enhancement offered to facilities that meet or exceed the standard established for the quality measures.</w:t>
      </w:r>
    </w:p>
    <w:p>
      <w:pPr>
        <w:spacing w:before="0" w:after="0" w:line="408" w:lineRule="exact"/>
        <w:ind w:left="0" w:right="0" w:firstLine="576"/>
        <w:jc w:val="left"/>
      </w:pPr>
      <w:r>
        <w:rPr/>
        <w:t xml:space="preserve">(40) "Rate" or "rate allocation" means the medicaid per-patient-day payment amount for medicaid patients calculated in accordance with the allocation methodology set forth in </w:t>
      </w:r>
      <w:r>
        <w:t>((</w:t>
      </w:r>
      <w:r>
        <w:rPr>
          <w:strike/>
        </w:rPr>
        <w:t xml:space="preserve">part E of this chapter</w:t>
      </w:r>
      <w:r>
        <w:t>))</w:t>
      </w:r>
      <w:r>
        <w:rPr/>
        <w:t xml:space="preserve"> </w:t>
      </w:r>
      <w:r>
        <w:rPr>
          <w:u w:val="single"/>
        </w:rPr>
        <w:t xml:space="preserve">RCW 74.46.421 through 74.46.531</w:t>
      </w:r>
      <w:r>
        <w:rPr/>
        <w:t xml:space="preserve">.</w:t>
      </w:r>
    </w:p>
    <w:p>
      <w:pPr>
        <w:spacing w:before="0" w:after="0" w:line="408" w:lineRule="exact"/>
        <w:ind w:left="0" w:right="0" w:firstLine="576"/>
        <w:jc w:val="left"/>
      </w:pPr>
      <w:r>
        <w:rPr/>
        <w:t xml:space="preserve">(41)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rPr/>
        <w:t xml:space="preserve">(42)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rPr/>
        <w:t xml:space="preserve">(43)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rPr/>
        <w:t xml:space="preserve">(44)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rPr/>
        <w:t xml:space="preserve">(45) </w:t>
      </w:r>
      <w:r>
        <w:t>((</w:t>
      </w:r>
      <w:r>
        <w:rPr>
          <w:strike/>
        </w:rPr>
        <w:t xml:space="preserve">"Resource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rPr>
          <w:strike/>
        </w:rPr>
        <w:t xml:space="preserve">(46)</w:t>
      </w:r>
      <w:r>
        <w:t>))</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w:t>
      </w:r>
      <w:r>
        <w:t>((</w:t>
      </w:r>
      <w:r>
        <w:rPr>
          <w:strike/>
        </w:rPr>
        <w:t xml:space="preserve">the resource utilization group IV case mix classification methodology. The department shall use the fifty-seven group index maximizing model for the resource utilization group IV grouper version MDS 3.05, but in the 2021-2023 biennium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strike/>
        </w:rPr>
        <w:t xml:space="preserve">efficient care, excluding behaviors, and allowing for exceptions for limited placement options</w:t>
      </w:r>
      <w:r>
        <w:t>))</w:t>
      </w:r>
      <w:r>
        <w:rPr/>
        <w:t xml:space="preserve"> </w:t>
      </w:r>
      <w:r>
        <w:rPr>
          <w:u w:val="single"/>
        </w:rPr>
        <w:t xml:space="preserve">a method for applying case mix to the rate. This method should be informed by minimum data set data collected by the centers for medicare and medicaid services</w:t>
      </w:r>
      <w:r>
        <w:rPr/>
        <w:t xml:space="preserve">; and</w:t>
      </w:r>
    </w:p>
    <w:p>
      <w:pPr>
        <w:spacing w:before="0" w:after="0" w:line="408" w:lineRule="exact"/>
        <w:ind w:left="0" w:right="0" w:firstLine="576"/>
        <w:jc w:val="left"/>
      </w:pPr>
      <w:r>
        <w:rPr/>
        <w:t xml:space="preserve">(b) </w:t>
      </w:r>
      <w:r>
        <w:t>((</w:t>
      </w:r>
      <w:r>
        <w:rPr>
          <w:strike/>
        </w:rPr>
        <w:t xml:space="preserve">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w:t>
      </w:r>
      <w:r>
        <w:t>))</w:t>
      </w:r>
      <w:r>
        <w:rPr/>
        <w:t xml:space="preserve"> </w:t>
      </w:r>
      <w:r>
        <w:rPr>
          <w:u w:val="single"/>
        </w:rPr>
        <w:t xml:space="preserve">Develop and implement rules to outline what data is used and how it is</w:t>
      </w:r>
      <w:r>
        <w:rPr/>
        <w:t xml:space="preserve"> implemented.</w:t>
      </w:r>
    </w:p>
    <w:p>
      <w:pPr>
        <w:spacing w:before="0" w:after="0" w:line="408" w:lineRule="exact"/>
        <w:ind w:left="0" w:right="0" w:firstLine="576"/>
        <w:jc w:val="left"/>
      </w:pPr>
      <w:r>
        <w:rPr/>
        <w:t xml:space="preserve">(2) </w:t>
      </w:r>
      <w:r>
        <w:t>((</w:t>
      </w:r>
      <w:r>
        <w:rPr>
          <w:strik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strike/>
        </w:rPr>
        <w:t xml:space="preserve">(3)</w:t>
      </w:r>
      <w:r>
        <w:t>))</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496</w:t>
      </w:r>
      <w:r>
        <w:rPr/>
        <w:t xml:space="preserve"> and 2011 1st sp.s. c 7 s 5 are each amended to read as follows:</w:t>
      </w:r>
    </w:p>
    <w:p>
      <w:pPr>
        <w:spacing w:before="0" w:after="0" w:line="408" w:lineRule="exact"/>
        <w:ind w:left="0" w:right="0" w:firstLine="576"/>
        <w:jc w:val="left"/>
      </w:pPr>
      <w:r>
        <w:rPr/>
        <w:t xml:space="preserve">(1) Each case mix classification group shall be assigned a case mix weight. The case mix weight for each resident of a nursing facility for each calendar quarter or six-month period during a calendar year shall be based on data from resident assessment instruments completed for the resident and weighted by the number of days the resident was in each case mix classification group. Days shall be counted as provided in this section.</w:t>
      </w:r>
    </w:p>
    <w:p>
      <w:pPr>
        <w:spacing w:before="0" w:after="0" w:line="408" w:lineRule="exact"/>
        <w:ind w:left="0" w:right="0" w:firstLine="576"/>
        <w:jc w:val="left"/>
      </w:pPr>
      <w:r>
        <w:rPr/>
        <w:t xml:space="preserve">(2) </w:t>
      </w:r>
      <w:r>
        <w:t>((</w:t>
      </w:r>
      <w:r>
        <w:rPr>
          <w:strike/>
        </w:rPr>
        <w:t xml:space="preserve">The case mix weights shall be based on the average minutes per registered nurse, licensed practical nurse, and certified nurse aide, for each case mix group, and using the United States department of health and human services nursing facility staff time measurement study. Those minutes shall be weighted by statewide ratios of registered nurse to certified nurse aide, and licensed practical nurse to certified nurse aide, wages, including salaries and benefits, which shall be based on cost report data for this state.</w:t>
      </w:r>
    </w:p>
    <w:p>
      <w:pPr>
        <w:spacing w:before="0" w:after="0" w:line="408" w:lineRule="exact"/>
        <w:ind w:left="0" w:right="0" w:firstLine="576"/>
        <w:jc w:val="left"/>
      </w:pPr>
      <w:r>
        <w:rPr>
          <w:strike/>
        </w:rPr>
        <w:t xml:space="preserve">(3) The case mix weights shall be determined as follows:</w:t>
      </w:r>
    </w:p>
    <w:p>
      <w:pPr>
        <w:spacing w:before="0" w:after="0" w:line="408" w:lineRule="exact"/>
        <w:ind w:left="0" w:right="0" w:firstLine="576"/>
        <w:jc w:val="left"/>
      </w:pPr>
      <w:r>
        <w:rPr>
          <w:strike/>
        </w:rPr>
        <w:t xml:space="preserve">(a) Set the certified nurse aide wage weight at 1.000 and calculate wage weights for registered nurse and licensed practical nurse average wages by dividing the certified nurse aide average wage into the registered nurse average wage and licensed practical nurse average wage;</w:t>
      </w:r>
    </w:p>
    <w:p>
      <w:pPr>
        <w:spacing w:before="0" w:after="0" w:line="408" w:lineRule="exact"/>
        <w:ind w:left="0" w:right="0" w:firstLine="576"/>
        <w:jc w:val="left"/>
      </w:pPr>
      <w:r>
        <w:rPr>
          <w:strike/>
        </w:rPr>
        <w:t xml:space="preserve">(b) Calculate the total weighted minutes for each case mix group in the resource utilization group classification system by multiplying the wage weight for each worker classification by the average number of minutes that classification of worker spends caring for a resident in that resource utilization group classification group, and summing the products;</w:t>
      </w:r>
    </w:p>
    <w:p>
      <w:pPr>
        <w:spacing w:before="0" w:after="0" w:line="408" w:lineRule="exact"/>
        <w:ind w:left="0" w:right="0" w:firstLine="576"/>
        <w:jc w:val="left"/>
      </w:pPr>
      <w:r>
        <w:rPr>
          <w:strike/>
        </w:rPr>
        <w:t xml:space="preserve">(c) Assign the lowest case mix weight to the resource utilization group with the lowest total weighted minutes and calculate case mix weights by dividing the lowest group's total weighted minutes into each group's total weighted minutes and rounding weight calculations to the third decimal place.</w:t>
      </w:r>
    </w:p>
    <w:p>
      <w:pPr>
        <w:spacing w:before="0" w:after="0" w:line="408" w:lineRule="exact"/>
        <w:ind w:left="0" w:right="0" w:firstLine="576"/>
        <w:jc w:val="left"/>
      </w:pPr>
      <w:r>
        <w:rPr>
          <w:strike/>
        </w:rPr>
        <w:t xml:space="preserve">(4) The case mix weights in this state may be revised if the United States department of health and human services updates its nursing facility staff time measurement studies. The case mix weights shall be revised, but only when direct care component rates are cost-rebased as provided in subsection (5) of this section, to be effective on the July 1st effective date of each cost-rebased direct care component rate. However, the department may revise case mix weights more frequently if, and only if, significant variances in wage ratios occur among direct care staff in the different caregiver classifications identified in this section.</w:t>
      </w:r>
    </w:p>
    <w:p>
      <w:pPr>
        <w:spacing w:before="0" w:after="0" w:line="408" w:lineRule="exact"/>
        <w:ind w:left="0" w:right="0" w:firstLine="576"/>
        <w:jc w:val="left"/>
      </w:pPr>
      <w:r>
        <w:rPr>
          <w:strike/>
        </w:rPr>
        <w:t xml:space="preserve">(5) Case mix weights shall be revised when direct care component rates are cost-rebased as provided in RCW 74.46.431(4)</w:t>
      </w:r>
      <w:r>
        <w:t>))</w:t>
      </w:r>
      <w:r>
        <w:rPr/>
        <w:t xml:space="preserve"> </w:t>
      </w:r>
      <w:r>
        <w:rPr>
          <w:u w:val="single"/>
        </w:rPr>
        <w:t xml:space="preserve">The case mix weights shall be based on finalized case mix weights as published by the centers for medicare and medicaid services in the federal register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w:t>
      </w:r>
      <w:r>
        <w:t>((</w:t>
      </w:r>
      <w:r>
        <w:rPr>
          <w:strike/>
        </w:rPr>
        <w:t xml:space="preserve">(a)</w:t>
      </w:r>
      <w:r>
        <w:t>))</w:t>
      </w:r>
      <w:r>
        <w:rPr/>
        <w:t xml:space="preserve">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w:t>
      </w:r>
      <w:r>
        <w:t>((</w:t>
      </w:r>
      <w:r>
        <w:rPr>
          <w:strike/>
        </w:rPr>
        <w:t xml:space="preserve">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w:t>
      </w:r>
      <w:r>
        <w:t>))</w:t>
      </w:r>
      <w:r>
        <w:rPr/>
        <w:t xml:space="preserve"> </w:t>
      </w:r>
      <w:r>
        <w:rPr>
          <w:u w:val="single"/>
        </w:rPr>
        <w:t xml:space="preserve">A</w:t>
      </w:r>
      <w:r>
        <w:rPr/>
        <w:t xml:space="preserve"> facility's medicaid average case mix index shall be used to update a nursing facility's direct care component rate semiannually.</w:t>
      </w:r>
    </w:p>
    <w:p>
      <w:pPr>
        <w:spacing w:before="0" w:after="0" w:line="408" w:lineRule="exact"/>
        <w:ind w:left="0" w:right="0" w:firstLine="576"/>
        <w:jc w:val="left"/>
      </w:pPr>
      <w:r>
        <w:t>((</w:t>
      </w:r>
      <w:r>
        <w:rPr>
          <w:strike/>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strike/>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strike/>
        </w:rPr>
        <w:t xml:space="preserve">(d) The department shall establish a methodology to use the case mix to set the direct care component [rate] in the 2021-2023 fiscal biennium.</w:t>
      </w:r>
      <w:r>
        <w:t>))</w:t>
      </w:r>
    </w:p>
    <w:p/>
    <w:p>
      <w:pPr>
        <w:jc w:val="center"/>
      </w:pPr>
      <w:r>
        <w:rPr>
          <w:b/>
        </w:rPr>
        <w:t>--- END ---</w:t>
      </w:r>
    </w:p>
    <w:sectPr>
      <w:pgNumType w:start="1"/>
      <w:footerReference xmlns:r="http://schemas.openxmlformats.org/officeDocument/2006/relationships" r:id="Re0d25d71a5034c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50c90467bd49e7" /><Relationship Type="http://schemas.openxmlformats.org/officeDocument/2006/relationships/footer" Target="/word/footer1.xml" Id="Re0d25d71a5034c2c" /></Relationships>
</file>