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d6f96f2cc48a6" /></Relationships>
</file>

<file path=word/document.xml><?xml version="1.0" encoding="utf-8"?>
<w:document xmlns:w="http://schemas.openxmlformats.org/wordprocessingml/2006/main">
  <w:body>
    <w:p>
      <w:r>
        <w:t>H-2438.1</w:t>
      </w:r>
    </w:p>
    <w:p>
      <w:pPr>
        <w:jc w:val="center"/>
      </w:pPr>
      <w:r>
        <w:t>_______________________________________________</w:t>
      </w:r>
    </w:p>
    <w:p/>
    <w:p>
      <w:pPr>
        <w:jc w:val="center"/>
      </w:pPr>
      <w:r>
        <w:rPr>
          <w:b/>
        </w:rPr>
        <w:t>HOUSE BILL 2228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Christian</w:t>
      </w:r>
    </w:p>
    <w:p/>
    <w:p>
      <w:r>
        <w:rPr>
          <w:t xml:space="preserve">Read first time 01/09/24.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minimum density requirements for middle housing; amending RCW 36.70A.635; and reenacting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w:t>
      </w:r>
      <w:r>
        <w:t>((</w:t>
      </w:r>
      <w:r>
        <w:rPr>
          <w:strike/>
        </w:rPr>
        <w:t xml:space="preserve">fiveplexes, sixplexes,</w:t>
      </w:r>
      <w:r>
        <w:t>))</w:t>
      </w:r>
      <w:r>
        <w:rPr/>
        <w:t xml:space="preserve">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635</w:t>
      </w:r>
      <w:r>
        <w:rPr/>
        <w:t xml:space="preserve"> and 2023 c 332 s 3 are each amended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r>
        <w:t>((</w:t>
      </w:r>
      <w:r>
        <w:rPr>
          <w:strike/>
        </w:rPr>
        <w:t xml:space="preserve">:</w:t>
      </w:r>
    </w:p>
    <w:p>
      <w:pPr>
        <w:spacing w:before="0" w:after="0" w:line="408" w:lineRule="exact"/>
        <w:ind w:left="0" w:right="0" w:firstLine="576"/>
        <w:jc w:val="left"/>
      </w:pPr>
      <w:r>
        <w:rPr>
          <w:strike/>
        </w:rPr>
        <w:t xml:space="preserve">(i) The</w:t>
      </w:r>
      <w:r>
        <w:t>))</w:t>
      </w:r>
      <w:r>
        <w:rPr>
          <w:u w:val="single"/>
        </w:rPr>
        <w:t xml:space="preserve">, the</w:t>
      </w:r>
      <w:r>
        <w:rPr/>
        <w:t xml:space="preserve"> development of at least four units per lot on all lots zoned predominantly for residential use, unless zoning permitting higher densities or intensities applies</w:t>
      </w:r>
      <w:r>
        <w:t>((</w:t>
      </w:r>
      <w:r>
        <w:rPr>
          <w:strike/>
        </w:rPr>
        <w:t xml:space="preserve">;</w:t>
      </w:r>
    </w:p>
    <w:p>
      <w:pPr>
        <w:spacing w:before="0" w:after="0" w:line="408" w:lineRule="exact"/>
        <w:ind w:left="0" w:right="0" w:firstLine="576"/>
        <w:jc w:val="left"/>
      </w:pPr>
      <w:r>
        <w:rPr>
          <w:strike/>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strike/>
        </w:rPr>
        <w:t xml:space="preserve">(iii) The development of at least six units per lot on all lots zoned predominantly for residential use, unless zoning permitting higher densities or intensities applies, if at least two units are affordable housing</w:t>
      </w:r>
      <w:r>
        <w:t>))</w:t>
      </w:r>
      <w:r>
        <w:rPr/>
        <w:t xml:space="preserve">.</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RCW 36.70A.637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RCW 36.70A.638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w:t>
      </w:r>
      <w:r>
        <w:rPr>
          <w:u w:val="single"/>
        </w:rPr>
        <w:t xml:space="preserve">subject to the requirements of subsection (1)(a) or (b) of this section</w:t>
      </w:r>
      <w:r>
        <w:rPr/>
        <w:t xml:space="preserve"> must allow at least six of the </w:t>
      </w:r>
      <w:r>
        <w:t>((</w:t>
      </w:r>
      <w:r>
        <w:rPr>
          <w:strike/>
        </w:rPr>
        <w:t xml:space="preserve">nine</w:t>
      </w:r>
      <w:r>
        <w:t>))</w:t>
      </w:r>
      <w:r>
        <w:rPr/>
        <w:t xml:space="preserve"> </w:t>
      </w:r>
      <w:r>
        <w:rPr>
          <w:u w:val="single"/>
        </w:rPr>
        <w:t xml:space="preserve">seven</w:t>
      </w:r>
      <w:r>
        <w:rPr/>
        <w:t xml:space="preserv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to ensure compliance with existing ordinances intended to protect critical areas and public health and safety;</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smaller than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chapter 332, Laws of 2023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Lots designated with critical areas designated under RCW 36.70A.170 or their buffers as required by RCW 36.70A.170;</w:t>
      </w:r>
    </w:p>
    <w:p>
      <w:pPr>
        <w:spacing w:before="0" w:after="0" w:line="408" w:lineRule="exact"/>
        <w:ind w:left="0" w:right="0" w:firstLine="576"/>
        <w:jc w:val="left"/>
      </w:pPr>
      <w:r>
        <w:rPr/>
        <w:t xml:space="preserve">(b) A watershed serving a reservoir for potable water if that watershed is or was listed, as of July 23, 2023, as impaired or threatened under section 303(d) of the federal clean water act (33 U.S.C. Sec. 1313(d)); or</w:t>
      </w:r>
    </w:p>
    <w:p>
      <w:pPr>
        <w:spacing w:before="0" w:after="0" w:line="408" w:lineRule="exact"/>
        <w:ind w:left="0" w:right="0" w:firstLine="576"/>
        <w:jc w:val="left"/>
      </w:pPr>
      <w:r>
        <w:rPr/>
        <w:t xml:space="preserve">(c) Lots that have been designated urban separators by countywide planning policies as of July 23, 2023.</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RCW 36.70A.638 does not have to update its capital facilities plan element required by RCW 36.70A.070(3) to accommodate the increased housing required by chapter 332, Laws of 2023 until the first periodic comprehensive plan update required for the city under RCW 36.70A.130(5) that occurs on or after June 30, 2034.</w:t>
      </w:r>
    </w:p>
    <w:p/>
    <w:p>
      <w:pPr>
        <w:jc w:val="center"/>
      </w:pPr>
      <w:r>
        <w:rPr>
          <w:b/>
        </w:rPr>
        <w:t>--- END ---</w:t>
      </w:r>
    </w:p>
    <w:sectPr>
      <w:pgNumType w:start="1"/>
      <w:footerReference xmlns:r="http://schemas.openxmlformats.org/officeDocument/2006/relationships" r:id="Rffee9ffa92d847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bb297f2b743e7" /><Relationship Type="http://schemas.openxmlformats.org/officeDocument/2006/relationships/footer" Target="/word/footer1.xml" Id="Rffee9ffa92d8473d" /></Relationships>
</file>