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30d5133db45b6" /></Relationships>
</file>

<file path=word/document.xml><?xml version="1.0" encoding="utf-8"?>
<w:document xmlns:w="http://schemas.openxmlformats.org/wordprocessingml/2006/main">
  <w:body>
    <w:p>
      <w:r>
        <w:t>H-2125.1</w:t>
      </w:r>
    </w:p>
    <w:p>
      <w:pPr>
        <w:jc w:val="center"/>
      </w:pPr>
      <w:r>
        <w:t>_______________________________________________</w:t>
      </w:r>
    </w:p>
    <w:p/>
    <w:p>
      <w:pPr>
        <w:jc w:val="center"/>
      </w:pPr>
      <w:r>
        <w:rPr>
          <w:b/>
        </w:rPr>
        <w:t>HOUSE BILL 2233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Griffey, Connors, Klicker, Hutchins, Jacobsen, and Graham</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appropriate response to the use and presence of controlled substances by parents to protect children; amending RCW 13.34.050, 26.44.050, 26.44.056, and 26.44.030; and reenacting and amending RCW 13.34.065.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w:t>
      </w:r>
      <w:r>
        <w:rPr>
          <w:u w:val="single"/>
        </w:rPr>
        <w:t xml:space="preserve">(a)</w:t>
      </w:r>
      <w:r>
        <w:rPr/>
        <w:t xml:space="preserve"> The court may enter an order directing a law enforcement officer, probation counselor, or child protective services official to take a child into custody if: </w:t>
      </w:r>
      <w:r>
        <w:t>((</w:t>
      </w:r>
      <w:r>
        <w:rPr>
          <w:strike/>
        </w:rPr>
        <w:t xml:space="preserve">(a)</w:t>
      </w:r>
      <w:r>
        <w:t>))</w:t>
      </w:r>
      <w:r>
        <w:rPr/>
        <w:t xml:space="preserve"> </w:t>
      </w:r>
      <w:r>
        <w:rPr>
          <w:u w:val="single"/>
        </w:rPr>
        <w:t xml:space="preserve">(i)</w:t>
      </w:r>
      <w:r>
        <w:rPr/>
        <w:t xml:space="preserve"> A petition is filed with the juvenile court with sufficient corroborating evidence to establish that the child is dependent; </w:t>
      </w:r>
      <w:r>
        <w:t>((</w:t>
      </w:r>
      <w:r>
        <w:rPr>
          <w:strike/>
        </w:rPr>
        <w:t xml:space="preserve">(b)</w:t>
      </w:r>
      <w:r>
        <w:t>))</w:t>
      </w:r>
      <w:r>
        <w:rPr/>
        <w:t xml:space="preserve"> </w:t>
      </w:r>
      <w:r>
        <w:rPr>
          <w:u w:val="single"/>
        </w:rPr>
        <w:t xml:space="preserve">(ii)</w:t>
      </w:r>
      <w:r>
        <w:rPr/>
        <w:t xml:space="preserve"> 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w:t>
      </w:r>
      <w:r>
        <w:t>((</w:t>
      </w:r>
      <w:r>
        <w:rPr>
          <w:strike/>
        </w:rPr>
        <w:t xml:space="preserve">(c)</w:t>
      </w:r>
      <w:r>
        <w:t>))</w:t>
      </w:r>
      <w:r>
        <w:rPr/>
        <w:t xml:space="preserve"> </w:t>
      </w:r>
      <w:r>
        <w:rPr>
          <w:u w:val="single"/>
        </w:rPr>
        <w:t xml:space="preserve">(iii)</w:t>
      </w:r>
      <w:r>
        <w:rPr/>
        <w:t xml:space="preserve"> an affidavit or declaration is filed by the department in support of the petition setting forth specific factual information evidencing insufficient time to serve a parent with a dependency petition and hold a hearing prior to removal.</w:t>
      </w:r>
    </w:p>
    <w:p>
      <w:pPr>
        <w:spacing w:before="0" w:after="0" w:line="408" w:lineRule="exact"/>
        <w:ind w:left="0" w:right="0" w:firstLine="576"/>
        <w:jc w:val="left"/>
      </w:pPr>
      <w:r>
        <w:rPr>
          <w:u w:val="single"/>
        </w:rPr>
        <w:t xml:space="preserve">(b) Use of a controlled substance or substances, as defined in chapter 69.50 RCW, not obtained directly from, or pursuant to, a valid prescription or order of a medical practitioner while caring for a child constitutes reasonable grounds to believe that removal is necessary to prevent imminent physical harm to the child due to child abuse or neglect under (a) of this subsection.</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Use of a controlled substance or substances, as defined in chapter 69.50 RCW, not obtained directly from, or pursuant to, a valid prescription or order of a medical practitioner while caring for a child constitutes reasonable grounds to believe that removal is necessary to prevent imminent physical harm to the child due to child abuse or neglect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w:t>
      </w:r>
      <w:r>
        <w:rPr>
          <w:u w:val="single"/>
        </w:rPr>
        <w:t xml:space="preserve">(a)</w:t>
      </w:r>
      <w:r>
        <w:rPr/>
        <w:t xml:space="preserve">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u w:val="single"/>
        </w:rPr>
        <w:t xml:space="preserve">(b) Use of a controlled substance or substances, as defined in chapter 69.50 RCW, not obtained directly from, or pursuant to, a valid prescription or order of a medical practitioner while caring for a child constitutes reasonable grounds to believe that removal is necessary to prevent imminent physical harm to the child due to child abuse or neglect under (a) of this subsection.</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except that use of a controlled substance or substances, as defined in chapter 69.50 RCW, not obtained directly from, or pursuant to, a valid prescription or order of a medical practitioner while caring for a child is a condition that places the child in imminent physical harm</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The department shall develop and make available to department staff a fentanyl-specific risk assessment tool to be used by department staff to determine the appropriate safety measures to take when investigating alleged child abuse and neglect referrals when fentanyl use or the presence of fentanyl is suspected or confirmed. The department shall also make available to department staff fentanyl testing strips that can detect the presence of fentanyl that may be used when investigating alleged child abuse and neglect referrals and otherwise as appropriate.</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16c2dd8bbce449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9eb5042174d2b" /><Relationship Type="http://schemas.openxmlformats.org/officeDocument/2006/relationships/footer" Target="/word/footer1.xml" Id="R16c2dd8bbce449b3" /></Relationships>
</file>