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e218bbe314319" /></Relationships>
</file>

<file path=word/document.xml><?xml version="1.0" encoding="utf-8"?>
<w:document xmlns:w="http://schemas.openxmlformats.org/wordprocessingml/2006/main">
  <w:body>
    <w:p>
      <w:r>
        <w:t>H-2492.1</w:t>
      </w:r>
    </w:p>
    <w:p>
      <w:pPr>
        <w:jc w:val="center"/>
      </w:pPr>
      <w:r>
        <w:t>_______________________________________________</w:t>
      </w:r>
    </w:p>
    <w:p/>
    <w:p>
      <w:pPr>
        <w:jc w:val="center"/>
      </w:pPr>
      <w:r>
        <w:rPr>
          <w:b/>
        </w:rPr>
        <w:t>HOUSE BILL 2247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Bronoske, Simmons, Duerr, Callan, Reed, Macri, Doglio, Leavitt, and Davis</w:t>
      </w:r>
    </w:p>
    <w:p/>
    <w:p>
      <w:r>
        <w:rPr>
          <w:t xml:space="preserve">Read first time 01/09/24.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18.225.180, 48.43.045, and 74.09.522; reenacting and amending RCW 18.205.095 and 18.225.090;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 A holder of a licensed psychological associate license may only practice under the supervision of a licensed supervisor pursuant to rules adopted by the board. An applicant for a licensed psychological associate license may practice under the direct supervision of a licensed supervisor until the applicant's license is issued or denied, pursuant to rules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An applicant for an associate license under this section may practice, for up to 120 days after the department receives the applicant's completed application, under the direct supervision of an approved supervisor until the applicant's license is issued or denied.</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w:t>
      </w:r>
      <w:r>
        <w:t>))</w:t>
      </w:r>
      <w:r>
        <w:rPr/>
        <w:t xml:space="preserve">, provided that the applicant for renewal has successfully completed </w:t>
      </w:r>
      <w:r>
        <w:t>((</w:t>
      </w:r>
      <w:r>
        <w:rPr>
          <w:strike/>
        </w:rPr>
        <w:t xml:space="preserve">eighteen hours of</w:t>
      </w:r>
      <w:r>
        <w:t>))</w:t>
      </w:r>
      <w:r>
        <w:rPr>
          <w:u w:val="single"/>
        </w:rPr>
        <w:t xml:space="preserve">, in the preceding year,</w:t>
      </w:r>
      <w:r>
        <w:rPr/>
        <w:t xml:space="preserve"> continuing education </w:t>
      </w:r>
      <w:r>
        <w:t>((</w:t>
      </w:r>
      <w:r>
        <w:rPr>
          <w:strike/>
        </w:rPr>
        <w:t xml:space="preserve">in the preceding year</w:t>
      </w:r>
      <w:r>
        <w:t>))</w:t>
      </w:r>
      <w:r>
        <w:rPr/>
        <w:t xml:space="preserve"> </w:t>
      </w:r>
      <w:r>
        <w:rPr>
          <w:u w:val="single"/>
        </w:rPr>
        <w:t xml:space="preserve">requirements established in rule by the secretary</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of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w:t>
      </w:r>
    </w:p>
    <w:p>
      <w:pPr>
        <w:spacing w:before="0" w:after="0" w:line="408" w:lineRule="exact"/>
        <w:ind w:left="0" w:right="0" w:firstLine="576"/>
        <w:jc w:val="left"/>
      </w:pPr>
      <w:r>
        <w:rPr>
          <w:u w:val="single"/>
        </w:rPr>
        <w:t xml:space="preserve">(ii) Charge no more than $150 per hour to the associate receiving supervision, up to a total of $2,000 per year; and</w:t>
      </w:r>
    </w:p>
    <w:p>
      <w:pPr>
        <w:spacing w:before="0" w:after="0" w:line="408" w:lineRule="exact"/>
        <w:ind w:left="0" w:right="0" w:firstLine="576"/>
        <w:jc w:val="left"/>
      </w:pPr>
      <w:r>
        <w:rPr>
          <w:u w:val="single"/>
        </w:rPr>
        <w:t xml:space="preserve">(iii)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expenses</w:t>
      </w:r>
      <w:r>
        <w:rPr>
          <w:u w:val="single"/>
        </w:rPr>
        <w:t xml:space="preserve">, time spent supervising each associate under their supervision, and any fees that the supervisors charge the associate</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2015 c 237 s 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included in the basic essential health benefits benchmark plan established by the commissioner consistent with RCW 48.43.715, to the extent that:</w:t>
      </w:r>
    </w:p>
    <w:p>
      <w:pPr>
        <w:spacing w:before="0" w:after="0" w:line="408" w:lineRule="exact"/>
        <w:ind w:left="0" w:right="0" w:firstLine="576"/>
        <w:jc w:val="left"/>
      </w:pPr>
      <w:r>
        <w:rPr/>
        <w:t xml:space="preserve">(i) The provision of such health services or care is within the health care providers' permitted scope of practice;</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 and</w:t>
      </w:r>
    </w:p>
    <w:p>
      <w:pPr>
        <w:spacing w:before="0" w:after="0" w:line="408" w:lineRule="exact"/>
        <w:ind w:left="0" w:right="0" w:firstLine="576"/>
        <w:jc w:val="left"/>
      </w:pPr>
      <w:r>
        <w:rPr/>
        <w:t xml:space="preserve">(iii) The plan covers such services or care in the essential health benefits benchmark plan. The reference to the essential health benefits does not create a mandate to cover a service that is otherwise not a covered benefit.</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w:t>
      </w:r>
      <w:r>
        <w:rPr>
          <w:u w:val="single"/>
        </w:rPr>
        <w:t xml:space="preserve">If a health plan's provider network includes participating providers licensed under chapter 18.83 or 18.225 RCW, the plan may not categorically exclude associate licensees under those chapters.</w:t>
      </w:r>
    </w:p>
    <w:p>
      <w:pPr>
        <w:spacing w:before="0" w:after="0" w:line="408" w:lineRule="exact"/>
        <w:ind w:left="0" w:right="0" w:firstLine="576"/>
        <w:jc w:val="left"/>
      </w:pPr>
      <w:r>
        <w:rPr>
          <w:u w:val="single"/>
        </w:rPr>
        <w:t xml:space="preserve">(3)</w:t>
      </w:r>
      <w:r>
        <w:rPr/>
        <w:t xml:space="preserve"> The requirements of subsection (1)(a) of this section do not apply to a licensed health care profession regulated under Title 18 RCW when the licensing statute for the profession states that such requirements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2023 c 51 s 43 are each amended to read as follows:</w:t>
      </w:r>
    </w:p>
    <w:p>
      <w:pPr>
        <w:spacing w:before="0" w:after="0" w:line="408" w:lineRule="exact"/>
        <w:ind w:left="0" w:right="0" w:firstLine="576"/>
        <w:jc w:val="left"/>
      </w:pPr>
      <w:r>
        <w:rPr/>
        <w:t xml:space="preserve">(1) For the purposes of this section, "nonparticipating provider" means a person, health care provider, practitioner, facility, or entity, acting within their scope of practice, that does not have a written contract to participate in a managed care organization's provider network, but provides health care services to enrollees of programs authorized under this chapter or other applicable law whose health care services are provided by the managed care organization.</w:t>
      </w:r>
    </w:p>
    <w:p>
      <w:pPr>
        <w:spacing w:before="0" w:after="0" w:line="408" w:lineRule="exact"/>
        <w:ind w:left="0" w:right="0" w:firstLine="576"/>
        <w:jc w:val="left"/>
      </w:pPr>
      <w:r>
        <w:rPr/>
        <w:t xml:space="preserve">(2) The authority shall enter into agreements with managed care organizations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care organizations shall not enroll a disproportionate number of medical assistance recipients within the total numbers of persons served by the managed care organizations,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care organizations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organization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care organization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care organizations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care organization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care organizations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care organizations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care organization to provide services to medical assistance enrollees shall require that managed care organizations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care organization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care organization shall pay a nonparticipating provider that provides a service covered under this chapter or other applicable law to the organization's enrollee no more than the lowest amount paid for that service under the managed care organization's contracts with similar providers in the state if the managed care organization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care organization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care organization contract to provide services under this section.</w:t>
      </w:r>
    </w:p>
    <w:p>
      <w:pPr>
        <w:spacing w:before="0" w:after="0" w:line="408" w:lineRule="exact"/>
        <w:ind w:left="0" w:right="0" w:firstLine="576"/>
        <w:jc w:val="left"/>
      </w:pPr>
      <w:r>
        <w:rPr/>
        <w:t xml:space="preserve">(11) Pursuant to federal managed care access standards, 42 C.F.R. Sec. 438, managed care organizations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care organization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w:t>
      </w:r>
      <w:r>
        <w:rPr>
          <w:u w:val="single"/>
        </w:rPr>
        <w:t xml:space="preserve">If a managed care organization's provider network includes participating providers licensed under chapter 18.83 or 18.225 RCW, the plan may not categorically exclude associate licensees under those chapters.</w:t>
      </w:r>
    </w:p>
    <w:p>
      <w:pPr>
        <w:spacing w:before="0" w:after="0" w:line="408" w:lineRule="exact"/>
        <w:ind w:left="0" w:right="0" w:firstLine="576"/>
        <w:jc w:val="left"/>
      </w:pPr>
      <w:r>
        <w:rPr>
          <w:u w:val="single"/>
        </w:rPr>
        <w:t xml:space="preserve">(13)</w:t>
      </w:r>
      <w:r>
        <w:rPr/>
        <w:t xml:space="preserve"> Payments under RCW 74.60.130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of psychology and the secretary of health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take effect October 1, 2025.</w:t>
      </w:r>
    </w:p>
    <w:p/>
    <w:p>
      <w:pPr>
        <w:jc w:val="center"/>
      </w:pPr>
      <w:r>
        <w:rPr>
          <w:b/>
        </w:rPr>
        <w:t>--- END ---</w:t>
      </w:r>
    </w:p>
    <w:sectPr>
      <w:pgNumType w:start="1"/>
      <w:footerReference xmlns:r="http://schemas.openxmlformats.org/officeDocument/2006/relationships" r:id="Re0b80315be5e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c88e6b6aa4a96" /><Relationship Type="http://schemas.openxmlformats.org/officeDocument/2006/relationships/footer" Target="/word/footer1.xml" Id="Re0b80315be5e4694" /></Relationships>
</file>