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ee2b997af434a" /></Relationships>
</file>

<file path=word/document.xml><?xml version="1.0" encoding="utf-8"?>
<w:document xmlns:w="http://schemas.openxmlformats.org/wordprocessingml/2006/main">
  <w:body>
    <w:p>
      <w:r>
        <w:t>H-3072.1</w:t>
      </w:r>
    </w:p>
    <w:p>
      <w:pPr>
        <w:jc w:val="center"/>
      </w:pPr>
      <w:r>
        <w:t>_______________________________________________</w:t>
      </w:r>
    </w:p>
    <w:p/>
    <w:p>
      <w:pPr>
        <w:jc w:val="center"/>
      </w:pPr>
      <w:r>
        <w:rPr>
          <w:b/>
        </w:rPr>
        <w:t>SUBSTITUTE HOUSE BILL 2250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Gregerson, Walen, Mena, Ramel, Duerr, Peterson, Reed, Berry, Berg, Stonier, Callan, Ryu, Chapman, Bateman, Reeves, Paul, Ormsby, Fosse, Cortes, Macri, Doglio, and Goodman)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29A.52.220, 36.32.040, 36.32.050, 29A.04.410, 29A.12.080, and 29A.36.121;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jurisdictions throughout the state have been discussing adopting ranked choice voting to elect their officials, with some jurisdictions exploring the concept through resolutions and proposed charter amendments, plaintiffs in Yakima county requesting it as a remedy under the Washington voting rights act in July 2020, and Seattle voters having already chosen it in November 2022. Without legislative guidance, however, local governments and courts considering ranked choice voting must independently develop their own unique methodology to implement it.</w:t>
      </w:r>
    </w:p>
    <w:p>
      <w:pPr>
        <w:spacing w:before="0" w:after="0" w:line="408" w:lineRule="exact"/>
        <w:ind w:left="0" w:right="0" w:firstLine="576"/>
        <w:jc w:val="left"/>
      </w:pPr>
      <w:r>
        <w:rPr/>
        <w:t xml:space="preserve">The legislature wishes to ensure that state law provides consistent and clear rules governing the use of ranked choice voting in Washington. The legislature therefore intends for this act to provide baseline definitions and legal requirements for ranked choice voting elections throughout the state.</w:t>
      </w:r>
    </w:p>
    <w:p>
      <w:pPr>
        <w:spacing w:before="0" w:after="0" w:line="408" w:lineRule="exact"/>
        <w:ind w:left="0" w:right="0" w:firstLine="576"/>
        <w:jc w:val="left"/>
      </w:pPr>
      <w:r>
        <w:rPr/>
        <w:t xml:space="preserve">The legislature further intends to create a work group to aid the secretary of state in developing effective rules and implementation materials for local governments that enact ranked choice voting through popular vote, by action of their governing body, or as a remedy under the Washington voting rights act. The work group will also develop high quality voter education standards and support materials to aid in the implementation of ranked choice voting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may adopt rules that determine the maximum number of candidates per office that a voter is allowed to rank on a ballot in order to accommodate technical limitations from voting systems and ensure compatibility with all ballot formats;</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count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count any votes after the skipped number for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count that vote ranking for any candidate and may not count a vote for any subsequent number ranking for that office;</w:t>
      </w:r>
    </w:p>
    <w:p>
      <w:pPr>
        <w:spacing w:before="0" w:after="0" w:line="408" w:lineRule="exact"/>
        <w:ind w:left="0" w:right="0" w:firstLine="576"/>
        <w:jc w:val="left"/>
      </w:pPr>
      <w:r>
        <w:rPr/>
        <w:t xml:space="preserve">(f) The election must be one of two types of ranked choice voting elections.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multiwinner contest, such as a primary,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conducts a general election for a single-winner contest using ranked choice voting must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must consult with its county auditor to determine the date when ranked choice voting will be implemented, which must be within two years following its adoption, unless a specific implementation date is provided in a court order directing a jurisdiction to use ranked choice voting as a remedy under RCW 29A.92.110.</w:t>
      </w:r>
    </w:p>
    <w:p>
      <w:pPr>
        <w:spacing w:before="0" w:after="0" w:line="408" w:lineRule="exact"/>
        <w:ind w:left="0" w:right="0" w:firstLine="576"/>
        <w:jc w:val="left"/>
      </w:pPr>
      <w:r>
        <w:rPr/>
        <w:t xml:space="preserve">(7)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(8) The secretary of state, before May 1, 2025, and in consultation with the ranked choice voting work group created in section 12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 and</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 in accordance with the work group recommendations described in section 12 of this act.</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method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method of counting votes in which ballots are counted in rounds and the candidate receiving the fewest number of votes is eliminated, continuing until one candidate receives a majority of all votes counted in that round and is declared the winner.</w:t>
      </w:r>
    </w:p>
    <w:p>
      <w:pPr>
        <w:spacing w:before="0" w:after="0" w:line="408" w:lineRule="exact"/>
        <w:ind w:left="0" w:right="0" w:firstLine="576"/>
        <w:jc w:val="left"/>
      </w:pPr>
      <w:r>
        <w:rPr/>
        <w:t xml:space="preserve">(c) "Single transferable vote method" means a method of counting votes in which:</w:t>
      </w:r>
    </w:p>
    <w:p>
      <w:pPr>
        <w:spacing w:before="0" w:after="0" w:line="408" w:lineRule="exact"/>
        <w:ind w:left="0" w:right="0" w:firstLine="576"/>
        <w:jc w:val="left"/>
      </w:pPr>
      <w:r>
        <w:rPr/>
        <w:t xml:space="preserve">(i) A winning threshold is calculated based on the number of votes cast and the number of seats to be filled, plus one;</w:t>
      </w:r>
    </w:p>
    <w:p>
      <w:pPr>
        <w:spacing w:before="0" w:after="0" w:line="408" w:lineRule="exact"/>
        <w:ind w:left="0" w:right="0" w:firstLine="576"/>
        <w:jc w:val="left"/>
      </w:pPr>
      <w:r>
        <w:rPr/>
        <w:t xml:space="preserve">(ii) Ballots are counted in rounds, and at the end of each round any candidate who receives enough votes to pass the winning threshold is declared elected. Any votes received by that candidate in excess of the threshold to win are transferred to other candidates. After all such votes have been transferred so that no candidate has votes exceeding the winning threshold, the candidate with the least number of votes is eliminated, and their votes are transferred to other candidates in the next round; and</w:t>
      </w:r>
    </w:p>
    <w:p>
      <w:pPr>
        <w:spacing w:before="0" w:after="0" w:line="408" w:lineRule="exact"/>
        <w:ind w:left="0" w:right="0" w:firstLine="576"/>
        <w:jc w:val="left"/>
      </w:pPr>
      <w:r>
        <w:rPr/>
        <w:t xml:space="preserve">(iii) The counting process stops when the number of elected candidates equals the number of seats to be filled, or the number of candidates remaining equals the number of seats not yet filled by an elected candidate.</w:t>
      </w:r>
    </w:p>
    <w:p>
      <w:pPr>
        <w:spacing w:before="0" w:after="0" w:line="408" w:lineRule="exact"/>
        <w:ind w:left="0" w:right="0" w:firstLine="576"/>
        <w:jc w:val="left"/>
      </w:pPr>
      <w:r>
        <w:rPr/>
        <w:t xml:space="preserve">(11) This section does not apply to any jurisdiction that, on the effective date of this section, uses ranked choice voting for one or more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in the counting process of an election conducted using ranked choice voting as provided in section 2 of this act, the official empowered by state law to certify candidates for the general election ballot shall resolve the tie using the lot method described in this section. If the tie occurs before the final round of counting, the tie must be resolved as expeditiously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2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2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p>
    <w:p>
      <w:pPr>
        <w:spacing w:before="0" w:after="0" w:line="408" w:lineRule="exact"/>
        <w:ind w:left="0" w:right="0" w:firstLine="576"/>
        <w:jc w:val="left"/>
      </w:pPr>
      <w:r>
        <w:rPr>
          <w:u w:val="single"/>
        </w:rPr>
        <w:t xml:space="preserve">(3)</w:t>
      </w:r>
      <w:r>
        <w:rPr/>
        <w:t xml:space="preserve"> Based upon votes cast at the primary, the top two candidates</w:t>
      </w:r>
      <w:r>
        <w:rPr>
          <w:u w:val="single"/>
        </w:rPr>
        <w:t xml:space="preserve">, or the top five candidates in a primary for a single-winner general election conducted using ranked choice voting as provided in section 2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single-winner general election conducted using ranked choice voting as provided in section 2 of this act, five or fewer candidates have filed for the 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single-winner general election conducted using ranked choice voting as provided in section 2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2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2 of this act. The county shall hold a primary to winnow the list of candidates in the district to five.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association of Washington cities, chosen by the association;</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2 of this act.</w:t>
      </w:r>
    </w:p>
    <w:p>
      <w:pPr>
        <w:spacing w:before="0" w:after="0" w:line="408" w:lineRule="exact"/>
        <w:ind w:left="0" w:right="0" w:firstLine="576"/>
        <w:jc w:val="left"/>
      </w:pPr>
      <w:r>
        <w:rPr/>
        <w:t xml:space="preserve">(4) The work group shall advise and aid the secretary of state in developing implementation and support materials for local governments that choose to enact ranked choice voting as provided in section 2 of this act. These materials must be informed by known best practices for ranked choice voting, such as best practices for ballot design, voter education, and election results reporting. Examples of support materials that may be developed by the work group include: Sample ballots; formats and timelines for reporting election results; and poll worker trainings. When developing such materials, the work group may consult similar materials developed by other jurisdictions that have previously implemented ranked choice voting.</w:t>
      </w:r>
    </w:p>
    <w:p>
      <w:pPr>
        <w:spacing w:before="0" w:after="0" w:line="408" w:lineRule="exact"/>
        <w:ind w:left="0" w:right="0" w:firstLine="576"/>
        <w:jc w:val="left"/>
      </w:pPr>
      <w:r>
        <w:rPr/>
        <w:t xml:space="preserve">(5) The work group shall also develop voter education materials for local governments that choose to enact ranked choice voting as provided in section 2 of this act. Examples of support materials that may be developed by the work group include: Voter education materials, such as flyers, brochures, video explainers, and graphics; candidate trainings; media trainings; and poll worker trainings. These materials must be developed by May 1, 2025.</w:t>
      </w:r>
    </w:p>
    <w:p>
      <w:pPr>
        <w:spacing w:before="0" w:after="0" w:line="408" w:lineRule="exact"/>
        <w:ind w:left="0" w:right="0" w:firstLine="576"/>
        <w:jc w:val="left"/>
      </w:pPr>
      <w:r>
        <w:rPr/>
        <w:t xml:space="preserve">(6) In carrying out its duties under subsection (5) of this section, the work group must consult with and provide meaningful opportunity for input from academics and other scholars of elections, the association of Washington cities, the Washington state association of counties, voting rights and election reform organizations, organizations representing traditionally underrepresented communities in Washington, tribes, and community stakeholders.</w:t>
      </w:r>
    </w:p>
    <w:p>
      <w:pPr>
        <w:spacing w:before="0" w:after="0" w:line="408" w:lineRule="exact"/>
        <w:ind w:left="0" w:right="0" w:firstLine="576"/>
        <w:jc w:val="left"/>
      </w:pPr>
      <w:r>
        <w:rPr/>
        <w:t xml:space="preserve">(7) The work group must provide a report to the appropriate committees of the legislature by June 1, 2025, detailing its activities and recommendations.</w:t>
      </w:r>
    </w:p>
    <w:p>
      <w:pPr>
        <w:spacing w:before="0" w:after="0" w:line="408" w:lineRule="exact"/>
        <w:ind w:left="0" w:right="0" w:firstLine="576"/>
        <w:jc w:val="left"/>
      </w:pPr>
      <w:r>
        <w:rPr/>
        <w:t xml:space="preserve">(8) This section expires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p>
    <w:p>
      <w:pPr>
        <w:spacing w:before="0" w:after="0" w:line="408" w:lineRule="exact"/>
        <w:ind w:left="0" w:right="0" w:firstLine="576"/>
        <w:jc w:val="left"/>
      </w:pPr>
      <w:r>
        <w:rPr>
          <w:u w:val="single"/>
        </w:rPr>
        <w:t xml:space="preserve">(2) The costs of implementing a ranked choice voting election, as provided in section 2 of this act, borne by a county must be apportioned under this section to the jurisdiction using ranked choice voting. Implementation costs that must be apportioned under this subsection include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w:t>
      </w:r>
    </w:p>
    <w:p>
      <w:pPr>
        <w:spacing w:before="0" w:after="0" w:line="408" w:lineRule="exact"/>
        <w:ind w:left="0" w:right="0" w:firstLine="576"/>
        <w:jc w:val="left"/>
      </w:pPr>
      <w:r>
        <w:rPr>
          <w:u w:val="single"/>
        </w:rPr>
        <w:t xml:space="preserve">(c) Hiring, training, and maintaining employees or other personnel needed to conduct ranked choice voting elections; and</w:t>
      </w:r>
    </w:p>
    <w:p>
      <w:pPr>
        <w:spacing w:before="0" w:after="0" w:line="408" w:lineRule="exact"/>
        <w:ind w:left="0" w:right="0" w:firstLine="576"/>
        <w:jc w:val="left"/>
      </w:pPr>
      <w:r>
        <w:rPr>
          <w:u w:val="single"/>
        </w:rPr>
        <w:t xml:space="preserve">(d) Voter education and outreach associated with ranked choice voting</w:t>
      </w:r>
      <w:r>
        <w:rPr/>
        <w:t xml:space="preserve">.</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 or</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state senator; state representative; county officers; justices of the supreme court; judges of the court of appeals; judges of the superior court; and judges of the district court. </w:t>
      </w:r>
      <w:r>
        <w:t>((</w:t>
      </w:r>
      <w:r>
        <w:rPr>
          <w:strike/>
        </w:rPr>
        <w:t xml:space="preserve">For</w:t>
      </w:r>
      <w:r>
        <w:t>))</w:t>
      </w:r>
      <w:r>
        <w:rPr/>
        <w:t xml:space="preserve"> </w:t>
      </w:r>
      <w:r>
        <w:rPr>
          <w:u w:val="single"/>
        </w:rPr>
        <w:t xml:space="preserve">Except as provided in subsection (3) of this section, for</w:t>
      </w:r>
      <w:r>
        <w:rPr/>
        <w:t xml:space="preserve">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0" w:after="0" w:line="408" w:lineRule="exact"/>
        <w:ind w:left="0" w:right="0" w:firstLine="576"/>
        <w:jc w:val="left"/>
      </w:pPr>
      <w:r>
        <w:rPr>
          <w:u w:val="single"/>
        </w:rPr>
        <w:t xml:space="preserve">(3) All offices that are elected using ranked choice voting as provided in section 2 of this act must be grouped together, appearing consecutively and in an order consistent with subsections (1) and (2) of this section. The county auditor may, in the auditor's discretion, place the grouping of offices elected using ranked choice voting at any place on the ballot, except that the grouping of offices may not be placed before any office that is required to come before it under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40456784b7f9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1c740fd9e424b" /><Relationship Type="http://schemas.openxmlformats.org/officeDocument/2006/relationships/footer" Target="/word/footer1.xml" Id="R40456784b7f947c9" /></Relationships>
</file>