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d3da56a1049c2" /></Relationships>
</file>

<file path=word/document.xml><?xml version="1.0" encoding="utf-8"?>
<w:document xmlns:w="http://schemas.openxmlformats.org/wordprocessingml/2006/main">
  <w:body>
    <w:p>
      <w:r>
        <w:t>H-2986.1</w:t>
      </w:r>
    </w:p>
    <w:p>
      <w:pPr>
        <w:jc w:val="center"/>
      </w:pPr>
      <w:r>
        <w:t>_______________________________________________</w:t>
      </w:r>
    </w:p>
    <w:p/>
    <w:p>
      <w:pPr>
        <w:jc w:val="center"/>
      </w:pPr>
      <w:r>
        <w:rPr>
          <w:b/>
        </w:rPr>
        <w:t>SUBSTITUTE HOUSE BILL 2295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Bateman, Hutchins, Riccelli, Bronoske, Reed, Orwall, Davis, Tharinger, Simmons, Callan,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regulatory structure for licensed acute care hospitals to provide hospital at-home services; amending RCW 70.127.040 and 70.38.111; adding a new section to chapter 70.41 RCW; adding a new section to chapter 70.126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an active federal program waiver prior to when the department adopts rules pursuant to this section. Hospitals that have an active federal program waiver and intend to operate hospital at-home services within Washington state shall notify the department within 30 days of the effective date of this section.</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The standards must be consistent with the provisions of the federal program and may not include requirements that would make a hospital ineligible for or preclude a hospital from complying with the requirements of the federal program. The department may adopt additional standards to address program safety concerns.</w:t>
      </w:r>
    </w:p>
    <w:p>
      <w:pPr>
        <w:spacing w:before="0" w:after="0" w:line="408" w:lineRule="exact"/>
        <w:ind w:left="0" w:right="0" w:firstLine="576"/>
        <w:jc w:val="left"/>
      </w:pPr>
      <w:r>
        <w:rPr/>
        <w:t xml:space="preserve">(b) In the event that the federal program expires before the department establishes rules, hospitals shall continue to follow federal program requirements that were in effect as of the date of the federal program's expiration and the department shall enforce such requirements until the department adopts rules.</w:t>
      </w:r>
    </w:p>
    <w:p>
      <w:pPr>
        <w:spacing w:before="0" w:after="0" w:line="408" w:lineRule="exact"/>
        <w:ind w:left="0" w:right="0" w:firstLine="576"/>
        <w:jc w:val="left"/>
      </w:pPr>
      <w:r>
        <w:rPr/>
        <w:t xml:space="preserve">(c) Once rules are established, hospitals that intend to offer or continue offering hospital at-home services shall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application fees charged shall not exceed the actual cost of staff time to review. The administration of the program must be covered by licensing fees set by the department under the authority of RCW 70.41.100 and 43.70.250.</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596681836045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39198cba04c02" /><Relationship Type="http://schemas.openxmlformats.org/officeDocument/2006/relationships/footer" Target="/word/footer1.xml" Id="R115966818360455e" /></Relationships>
</file>