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030fe650ee413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2301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Doglio, Fitzgibbon, Duerr, Berry, Ramel, Ormsby, Peterson, Pollet, Macri, Cortes, Shavers, Leavitt,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outcomes associated with waste material management systems, including products affecting organic material management systems; amending RCW 70A.207.020, 70A.214.100, 70A.205.540, 70A.205.545, 70A.455.040, 70A.455.070, 70A.455.090, 15.04.420, and 43.19A.150; adding new sections to chapter 70A.207 RCW; adding a new section to chapter 43.23 RCW; adding a new section to chapter 70A.205 RCW; adding a new section to chapter 70A.455 RCW; adding a new section to chapter 19.27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Making changes to product degradability labeling requirements;</w:t>
      </w:r>
    </w:p>
    <w:p>
      <w:pPr>
        <w:spacing w:before="0" w:after="0" w:line="408" w:lineRule="exact"/>
        <w:ind w:left="0" w:right="0" w:firstLine="576"/>
        <w:jc w:val="left"/>
      </w:pPr>
      <w:r>
        <w:rPr/>
        <w:t xml:space="preserve">(d) Amending the state building code in support of organic material management; and</w:t>
      </w:r>
    </w:p>
    <w:p>
      <w:pPr>
        <w:spacing w:before="0" w:after="0" w:line="408" w:lineRule="exact"/>
        <w:ind w:left="0" w:right="0" w:firstLine="576"/>
        <w:jc w:val="left"/>
      </w:pPr>
      <w:r>
        <w:rPr/>
        <w:t xml:space="preserve">(e)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compost,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compost,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0" w:after="0" w:line="408" w:lineRule="exact"/>
        <w:ind w:left="0" w:right="0" w:firstLine="576"/>
        <w:jc w:val="left"/>
      </w:pPr>
      <w:r>
        <w:rPr/>
        <w:t xml:space="preserve">(5) It is the intent of the legislature to consistently and sustainably allocate at least $25,000,000 per biennium, continuing over multiple biennia, to the program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$5,000 until 2026, and no more than $10,000 beginning January 1, 2026</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waste reduction program as determined by the office. </w:t>
      </w:r>
      <w:r>
        <w:rPr>
          <w:u w:val="single"/>
        </w:rPr>
        <w:t xml:space="preserve">It is the intent of the legislature to consistently and sustainably allocate at least $1,000,000 per biennium, continuing over multiple biennia and starting in calendar year 2026, to the awards program established in this section.</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2027, the department must adopt standards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0" w:after="0" w:line="408" w:lineRule="exact"/>
        <w:ind w:left="0" w:right="0" w:firstLine="576"/>
        <w:jc w:val="left"/>
      </w:pPr>
      <w:r>
        <w:rPr>
          <w:u w:val="single"/>
        </w:rPr>
        <w:t xml:space="preserve">(6) No penalty may be assessed on an individual or resident for the improper disposal of organic materials under subsection (1) of this section in a noncommercial or residential setting.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BIN COLORS.</w:t>
      </w:r>
    </w:p>
    <w:p>
      <w:pPr>
        <w:spacing w:before="0" w:after="0" w:line="408" w:lineRule="exact"/>
        <w:ind w:left="0" w:right="0" w:firstLine="576"/>
        <w:jc w:val="left"/>
      </w:pPr>
      <w:r>
        <w:rPr/>
        <w:t xml:space="preserve">(1) Except as provided in (a) and (b) of this subsection, the requirements of this section apply to containers purchased on or after July 1, 2026.</w:t>
      </w:r>
    </w:p>
    <w:p>
      <w:pPr>
        <w:spacing w:before="0" w:after="0" w:line="408" w:lineRule="exact"/>
        <w:ind w:left="0" w:right="0" w:firstLine="576"/>
        <w:jc w:val="left"/>
      </w:pPr>
      <w:r>
        <w:rPr/>
        <w:t xml:space="preserve">(a) A jurisdiction or solid waste collection company is not required to replace functional containers with a volume of less than one cubic yard or a plastic container of any size, including containers purchased prior to July 1, 2026, that do not comply with the color requirements of this section prior to the end of the useful life of those containers or prior to January 1, 2036, whichever comes first.</w:t>
      </w:r>
    </w:p>
    <w:p>
      <w:pPr>
        <w:spacing w:before="0" w:after="0" w:line="408" w:lineRule="exact"/>
        <w:ind w:left="0" w:right="0" w:firstLine="576"/>
        <w:jc w:val="left"/>
      </w:pPr>
      <w:r>
        <w:rPr/>
        <w:t xml:space="preserve">(b) A jurisdiction or solid waste collection company is not required to replace functional nonplastic containers with a volume of at least one cubic yard that existed and were in service as of July 1, 2026. However, a functional nonplastic container that existed as of July 1, 2026, must be repainted in a manner that matches the appropriate color requirements of this section on the earlier of:</w:t>
      </w:r>
    </w:p>
    <w:p>
      <w:pPr>
        <w:spacing w:before="0" w:after="0" w:line="408" w:lineRule="exact"/>
        <w:ind w:left="0" w:right="0" w:firstLine="576"/>
        <w:jc w:val="left"/>
      </w:pPr>
      <w:r>
        <w:rPr/>
        <w:t xml:space="preserve">(i) When it is next repainted; or</w:t>
      </w:r>
    </w:p>
    <w:p>
      <w:pPr>
        <w:spacing w:before="0" w:after="0" w:line="408" w:lineRule="exact"/>
        <w:ind w:left="0" w:right="0" w:firstLine="576"/>
        <w:jc w:val="left"/>
      </w:pPr>
      <w:r>
        <w:rPr/>
        <w:t xml:space="preserve">(ii)(A) By January 1, 2030, for collection containers owned by a person other than a jurisdiction that undertakes solid waste collection; or</w:t>
      </w:r>
    </w:p>
    <w:p>
      <w:pPr>
        <w:spacing w:before="0" w:after="0" w:line="408" w:lineRule="exact"/>
        <w:ind w:left="0" w:right="0" w:firstLine="576"/>
        <w:jc w:val="left"/>
      </w:pPr>
      <w:r>
        <w:rPr/>
        <w:t xml:space="preserve">(B) At the end of the useful life of the container owned by a jurisdiction that undertakes solid waste collection, or upon the distribution of sufficient funds under section 202 of this act to the jurisdiction to cover applicable container repainting costs of the jurisdiction.</w:t>
      </w:r>
    </w:p>
    <w:p>
      <w:pPr>
        <w:spacing w:before="0" w:after="0" w:line="408" w:lineRule="exact"/>
        <w:ind w:left="0" w:right="0" w:firstLine="576"/>
        <w:jc w:val="left"/>
      </w:pPr>
      <w:r>
        <w:rPr/>
        <w:t xml:space="preserve">(2) In each jurisdiction planning under this chapter, indoor or outdoor containers provided for collection services, including multifamily, commercial, government and other public places, institutional, and curbside residential collection services must be provided in a color-coded manner consistent with the requirements of this section in order to reduce contamination:</w:t>
      </w:r>
    </w:p>
    <w:p>
      <w:pPr>
        <w:spacing w:before="0" w:after="0" w:line="408" w:lineRule="exact"/>
        <w:ind w:left="0" w:right="0" w:firstLine="576"/>
        <w:jc w:val="left"/>
      </w:pPr>
      <w:r>
        <w:rPr/>
        <w:t xml:space="preserve">(a)(i) In a jurisdiction where source-separated recyclable materials and source-separated organic materials are collected separately, a gray or black container may be used only for the collection of solid waste that is not a source-separated recyclable material or a source-separated organic material;</w:t>
      </w:r>
    </w:p>
    <w:p>
      <w:pPr>
        <w:spacing w:before="0" w:after="0" w:line="408" w:lineRule="exact"/>
        <w:ind w:left="0" w:right="0" w:firstLine="576"/>
        <w:jc w:val="left"/>
      </w:pPr>
      <w:r>
        <w:rPr/>
        <w:t xml:space="preserve">(ii) In a jurisdiction where source-separated recyclable materials or organic materials are not collected separately, a gray or black container may be used for any solid waste, including organic material or recyclable material that is not separately collected in the jurisdiction.</w:t>
      </w:r>
    </w:p>
    <w:p>
      <w:pPr>
        <w:spacing w:before="0" w:after="0" w:line="408" w:lineRule="exact"/>
        <w:ind w:left="0" w:right="0" w:firstLine="576"/>
        <w:jc w:val="left"/>
      </w:pPr>
      <w:r>
        <w:rPr/>
        <w:t xml:space="preserve">(b) A blue container may be used only for source-separated recyclable materials. The contents of the blue container must be transported to a facility that recovered the materials designated for collection in the blue container.</w:t>
      </w:r>
    </w:p>
    <w:p>
      <w:pPr>
        <w:spacing w:before="0" w:after="0" w:line="408" w:lineRule="exact"/>
        <w:ind w:left="0" w:right="0" w:firstLine="576"/>
        <w:jc w:val="left"/>
      </w:pPr>
      <w:r>
        <w:rPr/>
        <w:t xml:space="preserve">(c) A green or brown container may be used only for source-separated organic materials and must be transported, directly or indirectly, to an organic materials management facility.</w:t>
      </w:r>
    </w:p>
    <w:p>
      <w:pPr>
        <w:spacing w:before="0" w:after="0" w:line="408" w:lineRule="exact"/>
        <w:ind w:left="0" w:right="0" w:firstLine="576"/>
        <w:jc w:val="left"/>
      </w:pPr>
      <w:r>
        <w:rPr/>
        <w:t xml:space="preserve">(d) A color other than green, brown, blue, black, or gray may be used only in accordance with any rules adopted by the department.</w:t>
      </w:r>
    </w:p>
    <w:p>
      <w:pPr>
        <w:spacing w:before="0" w:after="0" w:line="408" w:lineRule="exact"/>
        <w:ind w:left="0" w:right="0" w:firstLine="576"/>
        <w:jc w:val="left"/>
      </w:pPr>
      <w:r>
        <w:rPr/>
        <w:t xml:space="preserve">(e) By rule, the department may determine the appropriate container or containers to be used for materials that could conceivably be placed in multiple containers specified in (a) through (d) of this subsection.</w:t>
      </w:r>
    </w:p>
    <w:p>
      <w:pPr>
        <w:spacing w:before="0" w:after="0" w:line="408" w:lineRule="exact"/>
        <w:ind w:left="0" w:right="0" w:firstLine="576"/>
        <w:jc w:val="left"/>
      </w:pPr>
      <w:r>
        <w:rPr/>
        <w:t xml:space="preserve">(f) The color-coding requirements for solid waste collection containers under this section do not apply to containers with a volume of at least 10 cubic yards that:</w:t>
      </w:r>
    </w:p>
    <w:p>
      <w:pPr>
        <w:spacing w:before="0" w:after="0" w:line="408" w:lineRule="exact"/>
        <w:ind w:left="0" w:right="0" w:firstLine="576"/>
        <w:jc w:val="left"/>
      </w:pPr>
      <w:r>
        <w:rPr/>
        <w:t xml:space="preserve">(i) Are used on a temporary basis by multiple customers of a jurisdiction or solid waste collection company; and</w:t>
      </w:r>
    </w:p>
    <w:p>
      <w:pPr>
        <w:spacing w:before="0" w:after="0" w:line="408" w:lineRule="exact"/>
        <w:ind w:left="0" w:right="0" w:firstLine="576"/>
        <w:jc w:val="left"/>
      </w:pPr>
      <w:r>
        <w:rPr/>
        <w:t xml:space="preserve">(ii) Are alternately used for temporary periods for multiple types of solid waste depending on the specific needs of the customer.</w:t>
      </w:r>
    </w:p>
    <w:p>
      <w:pPr>
        <w:spacing w:before="0" w:after="0" w:line="408" w:lineRule="exact"/>
        <w:ind w:left="0" w:right="0" w:firstLine="576"/>
        <w:jc w:val="left"/>
      </w:pPr>
      <w:r>
        <w:rPr/>
        <w:t xml:space="preserve">(3) By January 1, 2025, all containers for collection services must bear a clear and conspicuous label on each container or lid specifying what materials are allowed to be placed in each container. The requirements of this subsection may be satisfied by:</w:t>
      </w:r>
    </w:p>
    <w:p>
      <w:pPr>
        <w:spacing w:before="0" w:after="0" w:line="408" w:lineRule="exact"/>
        <w:ind w:left="0" w:right="0" w:firstLine="576"/>
        <w:jc w:val="left"/>
      </w:pPr>
      <w:r>
        <w:rPr/>
        <w:t xml:space="preserve">(a) A label placed on a container that includes either language or graphic images, or both, that indicate the primary materials accepted and the primary materials prohibited in that container; or</w:t>
      </w:r>
    </w:p>
    <w:p>
      <w:pPr>
        <w:spacing w:before="0" w:after="0" w:line="408" w:lineRule="exact"/>
        <w:ind w:left="0" w:right="0" w:firstLine="576"/>
        <w:jc w:val="left"/>
      </w:pPr>
      <w:r>
        <w:rPr/>
        <w:t xml:space="preserve">(b) Imprinted text or graphic images that indicate the primary materials accepted and the primary materials prohibited in that container.</w:t>
      </w:r>
    </w:p>
    <w:p>
      <w:pPr>
        <w:spacing w:before="0" w:after="0" w:line="408" w:lineRule="exact"/>
        <w:ind w:left="0" w:right="0" w:firstLine="576"/>
        <w:jc w:val="left"/>
      </w:pPr>
      <w:r>
        <w:rPr/>
        <w:t xml:space="preserve">(4) The department may provide model labeling text and graphic images for optional use by local governments and solid waste collection companies that meets the requirements of this section.</w:t>
      </w:r>
    </w:p>
    <w:p>
      <w:pPr>
        <w:spacing w:before="0" w:after="0" w:line="408" w:lineRule="exact"/>
        <w:ind w:left="0" w:right="0" w:firstLine="576"/>
        <w:jc w:val="left"/>
      </w:pPr>
      <w:r>
        <w:rPr/>
        <w:t xml:space="preserve">(5) A jurisdiction or solid waste collection company may comply with the requirements of this section by providing a container or containers that are split or divided into segregated sections, instead of an entire container, as long as the lids of the separate sections of a split container comply with the container color requirements and material limitations specified in this section.</w:t>
      </w:r>
    </w:p>
    <w:p>
      <w:pPr>
        <w:spacing w:before="0" w:after="0" w:line="408" w:lineRule="exact"/>
        <w:ind w:left="0" w:right="0" w:firstLine="576"/>
        <w:jc w:val="left"/>
      </w:pPr>
      <w:r>
        <w:rPr/>
        <w:t xml:space="preserve">(6) Carpets, noncompostable paper, and hazardous wood waste may not be collected in a green or brown container. Hazardous wood waste may not be collected in a blue container. The department may adopt rules to prohibit additional waste stream contaminants from being placed in a green or brown container or a blue container.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(a)(i) "Blue container" means:</w:t>
      </w:r>
    </w:p>
    <w:p>
      <w:pPr>
        <w:spacing w:before="0" w:after="0" w:line="408" w:lineRule="exact"/>
        <w:ind w:left="0" w:right="0" w:firstLine="576"/>
        <w:jc w:val="left"/>
      </w:pPr>
      <w:r>
        <w:rPr/>
        <w:t xml:space="preserve">(A) A container with a volume of less than one cubic yard where the body of the container is blue in color and the lid is blue in color; and</w:t>
      </w:r>
    </w:p>
    <w:p>
      <w:pPr>
        <w:spacing w:before="0" w:after="0" w:line="408" w:lineRule="exact"/>
        <w:ind w:left="0" w:right="0" w:firstLine="576"/>
        <w:jc w:val="left"/>
      </w:pPr>
      <w:r>
        <w:rPr/>
        <w:t xml:space="preserve">(B) A container with a volume of at least one cubic yard where the body of the container is blue in color and the lid is blue or black in color.</w:t>
      </w:r>
    </w:p>
    <w:p>
      <w:pPr>
        <w:spacing w:before="0" w:after="0" w:line="408" w:lineRule="exact"/>
        <w:ind w:left="0" w:right="0" w:firstLine="576"/>
        <w:jc w:val="left"/>
      </w:pPr>
      <w:r>
        <w:rPr/>
        <w:t xml:space="preserve">(ii) Hardware, such as hinges and wheels on a blue container, may be any color.</w:t>
      </w:r>
    </w:p>
    <w:p>
      <w:pPr>
        <w:spacing w:before="0" w:after="0" w:line="408" w:lineRule="exact"/>
        <w:ind w:left="0" w:right="0" w:firstLine="576"/>
        <w:jc w:val="left"/>
      </w:pPr>
      <w:r>
        <w:rPr/>
        <w:t xml:space="preserve">(iii) Unless a local government implementing a solid waste plan under this chapter requires uniform blue painting of the entire container, the body of a blue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(b)(i) "Green or brown container" means:</w:t>
      </w:r>
    </w:p>
    <w:p>
      <w:pPr>
        <w:spacing w:before="0" w:after="0" w:line="408" w:lineRule="exact"/>
        <w:ind w:left="0" w:right="0" w:firstLine="576"/>
        <w:jc w:val="left"/>
      </w:pPr>
      <w:r>
        <w:rPr/>
        <w:t xml:space="preserve">(A) A container with a volume of less than one cubic yard where the body of the container is green or brown in color and the lid is green or brown in color; and</w:t>
      </w:r>
    </w:p>
    <w:p>
      <w:pPr>
        <w:spacing w:before="0" w:after="0" w:line="408" w:lineRule="exact"/>
        <w:ind w:left="0" w:right="0" w:firstLine="576"/>
        <w:jc w:val="left"/>
      </w:pPr>
      <w:r>
        <w:rPr/>
        <w:t xml:space="preserve">(B) A container with a volume of at least one cubic yard where the body of the container is green or brown in color and the lid is green, brown, or black in color.</w:t>
      </w:r>
    </w:p>
    <w:p>
      <w:pPr>
        <w:spacing w:before="0" w:after="0" w:line="408" w:lineRule="exact"/>
        <w:ind w:left="0" w:right="0" w:firstLine="576"/>
        <w:jc w:val="left"/>
      </w:pPr>
      <w:r>
        <w:rPr/>
        <w:t xml:space="preserve">(ii) Hardware, such as hinges and wheels on a green or brown container, may be any color.</w:t>
      </w:r>
    </w:p>
    <w:p>
      <w:pPr>
        <w:spacing w:before="0" w:after="0" w:line="408" w:lineRule="exact"/>
        <w:ind w:left="0" w:right="0" w:firstLine="576"/>
        <w:jc w:val="left"/>
      </w:pPr>
      <w:r>
        <w:rPr/>
        <w:t xml:space="preserve">(iii) Unless a local government implementing a solid waste plan under this chapter requires uniform green or brown painting of the entire container, the body of a green or brown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(c)(i) "Gray or black container" means:</w:t>
      </w:r>
    </w:p>
    <w:p>
      <w:pPr>
        <w:spacing w:before="0" w:after="0" w:line="408" w:lineRule="exact"/>
        <w:ind w:left="0" w:right="0" w:firstLine="576"/>
        <w:jc w:val="left"/>
      </w:pPr>
      <w:r>
        <w:rPr/>
        <w:t xml:space="preserve">(A) A container with a volume of less than one cubic yard where the body of the container is entirely gray or black in color and the lid is gray or black in color; and</w:t>
      </w:r>
    </w:p>
    <w:p>
      <w:pPr>
        <w:spacing w:before="0" w:after="0" w:line="408" w:lineRule="exact"/>
        <w:ind w:left="0" w:right="0" w:firstLine="576"/>
        <w:jc w:val="left"/>
      </w:pPr>
      <w:r>
        <w:rPr/>
        <w:t xml:space="preserve">(B) A container with a volume of at least one cubic yard where the body of the container is gray or black in color and the lid is gray or black in color.</w:t>
      </w:r>
    </w:p>
    <w:p>
      <w:pPr>
        <w:spacing w:before="0" w:after="0" w:line="408" w:lineRule="exact"/>
        <w:ind w:left="0" w:right="0" w:firstLine="576"/>
        <w:jc w:val="left"/>
      </w:pPr>
      <w:r>
        <w:rPr/>
        <w:t xml:space="preserve">(ii) Hardware, such as hinges and wheels, on a gray or black container may be any color.</w:t>
      </w:r>
    </w:p>
    <w:p>
      <w:pPr>
        <w:spacing w:before="0" w:after="0" w:line="408" w:lineRule="exact"/>
        <w:ind w:left="0" w:right="0" w:firstLine="576"/>
        <w:jc w:val="left"/>
      </w:pPr>
      <w:r>
        <w:rPr/>
        <w:t xml:space="preserve">(iii) Unless a local government implementing a solid waste plan under this chapter requires uniform gray or black painting of an entire container, the body of a gray or black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(iv) A galvanized metal container that is unpainted and gray or silver in appearance is considered to be a gray container for purposes of this section.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w:t>
      </w:r>
    </w:p>
    <w:p>
      <w:pPr>
        <w:spacing w:before="0" w:after="0" w:line="408" w:lineRule="exact"/>
        <w:ind w:left="0" w:right="0" w:firstLine="576"/>
        <w:jc w:val="left"/>
      </w:pPr>
      <w:r>
        <w:rPr/>
        <w:t xml:space="preserve">(1) A product labeled as "compostable" that is sold, offered for sale, or distributed for use in Washington by a producer must:</w:t>
      </w:r>
    </w:p>
    <w:p>
      <w:pPr>
        <w:spacing w:before="0" w:after="0" w:line="408" w:lineRule="exact"/>
        <w:ind w:left="0" w:right="0" w:firstLine="576"/>
        <w:jc w:val="left"/>
      </w:pPr>
      <w:r>
        <w:rPr/>
        <w:t xml:space="preserve">(a) Meet ASTM standard specification D6400;</w:t>
      </w:r>
    </w:p>
    <w:p>
      <w:pPr>
        <w:spacing w:before="0" w:after="0" w:line="408" w:lineRule="exact"/>
        <w:ind w:left="0" w:right="0" w:firstLine="576"/>
        <w:jc w:val="left"/>
      </w:pPr>
      <w:r>
        <w:rPr/>
        <w:t xml:space="preserve">(b) Meet ASTM standard specification D6868; or</w:t>
      </w:r>
    </w:p>
    <w:p>
      <w:pPr>
        <w:spacing w:before="0" w:after="0" w:line="408" w:lineRule="exact"/>
        <w:ind w:left="0" w:right="0" w:firstLine="576"/>
        <w:jc w:val="left"/>
      </w:pPr>
      <w:r>
        <w:rPr/>
        <w:t xml:space="preserve">(c)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99 percent fiber by weight; and</w:t>
      </w:r>
    </w:p>
    <w:p>
      <w:pPr>
        <w:spacing w:before="0" w:after="0" w:line="408" w:lineRule="exact"/>
        <w:ind w:left="0" w:right="0" w:firstLine="576"/>
        <w:jc w:val="left"/>
      </w:pPr>
      <w:r>
        <w:rPr>
          <w:u w:val="single"/>
        </w:rPr>
        <w:t xml:space="preserve">(ii) No plastic or polymer wax additives or plastic or wax coatings or adhesives that do not meet ASTM standard specification D6868</w:t>
      </w:r>
      <w:r>
        <w:rPr/>
        <w:t xml:space="preserve">.</w:t>
      </w:r>
    </w:p>
    <w:p>
      <w:pPr>
        <w:spacing w:before="0" w:after="0" w:line="408" w:lineRule="exact"/>
        <w:ind w:left="0" w:right="0" w:firstLine="576"/>
        <w:jc w:val="left"/>
      </w:pPr>
      <w:r>
        <w:rPr/>
        <w:t xml:space="preserve">(2) A product described in subsection (1)(a) or (b)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ASTM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on plastic film bags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on plastic film bags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or that are permit exempt</w:t>
      </w:r>
      <w:r>
        <w:rPr/>
        <w:t xml:space="preserve">, including transportation, equipment, spreading, and labor costs. </w:t>
      </w:r>
      <w:r>
        <w:rPr>
          <w:u w:val="single"/>
        </w:rPr>
        <w:t xml:space="preserve">Compost must meet the applicable requirements for compost established by the department of ecology under chapter 70A.205 RCW. The department must prioritize applicants who purchase and use compost containing food waste feedstocks, where it is practicable for the applicant to purchase and use compost containing food waste feedstocks.</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 </w:t>
      </w:r>
      <w:r>
        <w:rPr>
          <w:u w:val="single"/>
        </w:rPr>
        <w:t xml:space="preserve">or a permit-exempt facility</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All meetings of the work group must be carried out in a virtual-only format.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An organization representing food producers;</w:t>
      </w:r>
    </w:p>
    <w:p>
      <w:pPr>
        <w:spacing w:before="0" w:after="0" w:line="408" w:lineRule="exact"/>
        <w:ind w:left="0" w:right="0" w:firstLine="576"/>
        <w:jc w:val="left"/>
      </w:pPr>
      <w:r>
        <w:rPr/>
        <w:t xml:space="preserve">(o) A technology company currently focused on food rescue in Washington; and</w:t>
      </w:r>
    </w:p>
    <w:p>
      <w:pPr>
        <w:spacing w:before="0" w:after="0" w:line="408" w:lineRule="exact"/>
        <w:ind w:left="0" w:right="0" w:firstLine="576"/>
        <w:jc w:val="left"/>
      </w:pPr>
      <w:r>
        <w:rPr/>
        <w:t xml:space="preserve">(p)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cafd734446248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a33181c4d445bf" /><Relationship Type="http://schemas.openxmlformats.org/officeDocument/2006/relationships/footer" Target="/word/footer1.xml" Id="R1cafd73444624835" /></Relationships>
</file>