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36b9d7e544565" /></Relationships>
</file>

<file path=word/document.xml><?xml version="1.0" encoding="utf-8"?>
<w:document xmlns:w="http://schemas.openxmlformats.org/wordprocessingml/2006/main">
  <w:body>
    <w:p>
      <w:r>
        <w:t>H-2412.2</w:t>
      </w:r>
    </w:p>
    <w:p>
      <w:pPr>
        <w:jc w:val="center"/>
      </w:pPr>
      <w:r>
        <w:t>_______________________________________________</w:t>
      </w:r>
    </w:p>
    <w:p/>
    <w:p>
      <w:pPr>
        <w:jc w:val="center"/>
      </w:pPr>
      <w:r>
        <w:rPr>
          <w:b/>
        </w:rPr>
        <w:t>HOUSE BILL 2319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Davis, Macri, Mosbrucker, Griffey, Stearns, Fosse, Ramel, Simmons, Nance, Kloba, Farivar, Bateman, Reed, Ryu, Chopp, Ortiz-Self, Eslick, Jacobsen, Goodman, Alvarado, Peterson, Pollet, and Shavers</w:t>
      </w:r>
    </w:p>
    <w:p/>
    <w:p>
      <w:r>
        <w:rPr>
          <w:t xml:space="preserve">Read first time 01/11/24.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use disorder treatment; amending RCW 71.24.037, 41.05.526, 48.43.761, and 71.24.618; adding new sections to chapter 71.24 RCW; adding a new section to chapter 28B.20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April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providers when discussing medication treatment options for patients with alcohol use disorder. The institute shall distribute the tool to behavioral health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 Every licensed or certified behavioral health agency providing voluntary inpatient or residential substance use disorder treatment services or withdrawal management services must comply with the policy submission and mandatory reporting requirements established in section 2 of this act.</w:t>
      </w:r>
    </w:p>
    <w:p>
      <w:pPr>
        <w:spacing w:before="0" w:after="0" w:line="408" w:lineRule="exact"/>
        <w:ind w:left="0" w:right="0" w:firstLine="576"/>
        <w:jc w:val="left"/>
      </w:pPr>
      <w:r>
        <w:rPr>
          <w:u w:val="single"/>
        </w:rPr>
        <w:t xml:space="preserve">(21)(a) A licensed or certified behavioral health agency shall provide each patient with opioid use disorder or alcohol use disorder, whether receiving inpatient or outpatient treatment, with counseling related to treatment options specific to the patient's diagnosed condition. The counseling must include an unbiased explanation of all recognized possible forms of treatment, as required under RCW 7.70.050 and 7.70.060, including any available pharmacological treatments for the patient's diagnosed condition. In addition, the behavioral health agency shall facilitate access to the course of treatment that the patient chooses to pursue, including any pharmacological treatments.</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counseling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counseling and facilitation requirements of (a) of this subsection may be the basis of a disciplinary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behavioral health provider or licensed or certified behavioral health agency that provides withdrawal management services to a patient may not engage in a course of treatment that requires the patient to discontinue usage of or reduce dosage amounts of a medication, including a psychotropic medication, if the patient has been using the medication in accordance with the directions of a prescribing health care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after the times specified in (a) of this subsection have passed, a health plan may not initiate utilization review procedures prior to 28 days following admission, except to initiate the initial medical necessity review process permitted under (c)(iii) of this subsection or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consider a patient's length of abstinence when determining whether the services are medically necessary.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after the times specified in (a) of this subsection have passed, a health plan may not initiate utilization review procedures prior to 28 days following admission, except to initiate the initial medical necessity review process permitted under (c)(iii) of this subsection or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consider a patient's length of abstinence when determining whether the services are medically necessary.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 Beginning January 1, 2025, for inpatient or residential substance use disorder treatment services, after the times specified in (a) of this subsection have passed, a managed care organization may not initiate utilization review procedures prior to 28 days following admission, except to initiate the initial medical necessity review process permitted under (c)(iii) of this subsection or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consider a patient's length of abstinence when determining whether the services are medically necessary.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
      <w:pPr>
        <w:jc w:val="center"/>
      </w:pPr>
      <w:r>
        <w:rPr>
          <w:b/>
        </w:rPr>
        <w:t>--- END ---</w:t>
      </w:r>
    </w:p>
    <w:sectPr>
      <w:pgNumType w:start="1"/>
      <w:footerReference xmlns:r="http://schemas.openxmlformats.org/officeDocument/2006/relationships" r:id="R5a3980259e1742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1036e61dd640a8" /><Relationship Type="http://schemas.openxmlformats.org/officeDocument/2006/relationships/footer" Target="/word/footer1.xml" Id="R5a3980259e174223" /></Relationships>
</file>