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f593498a843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Bateman, Barkis, Duerr, Reed, and Pollet)</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middle housing requirements and the definitions of transit stop; amending RCW 36.70A.635; and reenacting and amending RCW 36.70A.030.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w:t>
      </w:r>
      <w:r>
        <w:t>((</w:t>
      </w:r>
      <w:r>
        <w:rPr>
          <w:strike/>
        </w:rPr>
        <w:t xml:space="preserve">up to four</w:t>
      </w:r>
      <w:r>
        <w:t>))</w:t>
      </w:r>
      <w:r>
        <w:rPr/>
        <w:t xml:space="preserve">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(20)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(21)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t xml:space="preserve">(22)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rPr/>
        <w:t xml:space="preserve">(23)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(24)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(25)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r>
        <w:rPr>
          <w:u w:val="single"/>
        </w:rPr>
        <w:t xml:space="preserve">, including those stops that are under construction</w:t>
      </w:r>
      <w:r>
        <w:rPr/>
        <w:t xml:space="preserve">.</w:t>
      </w:r>
    </w:p>
    <w:p>
      <w:pPr>
        <w:spacing w:before="0" w:after="0" w:line="408" w:lineRule="exact"/>
        <w:ind w:left="0" w:right="0" w:firstLine="576"/>
        <w:jc w:val="left"/>
      </w:pPr>
      <w:r>
        <w:rPr/>
        <w:t xml:space="preserve">(26)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t xml:space="preserve">(27) "Minerals" include gravel, sand, and valuable metallic substances.</w:t>
      </w:r>
    </w:p>
    <w:p>
      <w:pPr>
        <w:spacing w:before="0" w:after="0" w:line="408" w:lineRule="exact"/>
        <w:ind w:left="0" w:right="0" w:firstLine="576"/>
        <w:jc w:val="left"/>
      </w:pPr>
      <w:r>
        <w:rPr/>
        <w:t xml:space="preserve">(28)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(30)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t xml:space="preserve">(31)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(32)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(33)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(34)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(35)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(36)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(37)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(38) "Short line railroad" means those railroad lines designated class II or class III by the United States surface transportation board.</w:t>
      </w:r>
    </w:p>
    <w:p>
      <w:pPr>
        <w:spacing w:before="0" w:after="0" w:line="408" w:lineRule="exact"/>
        <w:ind w:left="0" w:right="0" w:firstLine="576"/>
        <w:jc w:val="left"/>
      </w:pPr>
      <w:r>
        <w:rPr/>
        <w:t xml:space="preserve">(39) "Single-family zones" means those zones where single-family detached housing is the predominant land use.</w:t>
      </w:r>
    </w:p>
    <w:p>
      <w:pPr>
        <w:spacing w:before="0" w:after="0" w:line="408" w:lineRule="exact"/>
        <w:ind w:left="0" w:right="0" w:firstLine="576"/>
        <w:jc w:val="left"/>
      </w:pPr>
      <w:r>
        <w:rPr/>
        <w:t xml:space="preserve">(40)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(41)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t xml:space="preserve">(42)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t xml:space="preserve">(43)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(44)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(45) "Urban growth areas" means those areas designated by a county pursuant to RCW 36.70A.110.</w:t>
      </w:r>
    </w:p>
    <w:p>
      <w:pPr>
        <w:spacing w:before="0" w:after="0" w:line="408" w:lineRule="exact"/>
        <w:ind w:left="0" w:right="0" w:firstLine="576"/>
        <w:jc w:val="left"/>
      </w:pPr>
      <w:r>
        <w:rPr/>
        <w:t xml:space="preserve">(46)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(47)(a)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rPr/>
        <w:t xml:space="preserve">(48)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(49)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635</w:t>
      </w:r>
      <w:r>
        <w:rPr/>
        <w:t xml:space="preserve"> and 2023 c 332 s 3 are each amended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RCW 36.70A.637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RCW 36.70A.638 due to a lack of infrastructure capacity;</w:t>
      </w:r>
    </w:p>
    <w:p>
      <w:pPr>
        <w:spacing w:before="0" w:after="0" w:line="408" w:lineRule="exact"/>
        <w:ind w:left="0" w:right="0" w:firstLine="576"/>
        <w:jc w:val="left"/>
      </w:pPr>
      <w:r>
        <w:rPr/>
        <w:t xml:space="preserve">(iii) Any lots</w:t>
      </w:r>
      <w:r>
        <w:rPr>
          <w:u w:val="single"/>
        </w:rPr>
        <w:t xml:space="preserve">, parcels, and tracts</w:t>
      </w:r>
      <w:r>
        <w:rPr/>
        <w:t xml:space="preserve">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w:t>
      </w:r>
      <w:r>
        <w:rPr>
          <w:u w:val="single"/>
        </w:rPr>
        <w:t xml:space="preserve">subject to the requirements of subsection (1)(a) or (b) of this section</w:t>
      </w:r>
      <w:r>
        <w:rPr/>
        <w:t xml:space="preserve">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w:t>
      </w:r>
      <w:r>
        <w:t>((</w:t>
      </w:r>
      <w:r>
        <w:rPr>
          <w:strike/>
        </w:rPr>
        <w:t xml:space="preserve">to ensure compliance with existing ordinances intended to protect critical areas and public health and safety</w:t>
      </w:r>
      <w:r>
        <w:t>))</w:t>
      </w:r>
      <w:r>
        <w:rPr/>
        <w:t xml:space="preserve">;</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w:t>
      </w:r>
      <w:r>
        <w:t>((</w:t>
      </w:r>
      <w:r>
        <w:rPr>
          <w:strike/>
        </w:rPr>
        <w:t xml:space="preserve">smaller than</w:t>
      </w:r>
      <w:r>
        <w:t>))</w:t>
      </w:r>
      <w:r>
        <w:rPr/>
        <w:t xml:space="preserve"> </w:t>
      </w:r>
      <w:r>
        <w:rPr>
          <w:u w:val="single"/>
        </w:rPr>
        <w:t xml:space="preserve">no greater than</w:t>
      </w:r>
      <w:r>
        <w:rPr/>
        <w:t xml:space="preserve">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chapter 332, Laws of 2023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w:t>
      </w:r>
      <w:r>
        <w:t>((</w:t>
      </w:r>
      <w:r>
        <w:rPr>
          <w:strike/>
        </w:rPr>
        <w:t xml:space="preserve">Lots</w:t>
      </w:r>
      <w:r>
        <w:t>))</w:t>
      </w:r>
      <w:r>
        <w:rPr/>
        <w:t xml:space="preserve"> </w:t>
      </w:r>
      <w:r>
        <w:rPr>
          <w:u w:val="single"/>
        </w:rPr>
        <w:t xml:space="preserve">Portions of a lot, parcel, or tract</w:t>
      </w:r>
      <w:r>
        <w:rPr/>
        <w:t xml:space="preserve"> designated with critical areas designated under RCW 36.70A.170 or their buffers as required by RCW 36.70A.170</w:t>
      </w:r>
      <w:r>
        <w:rPr>
          <w:u w:val="single"/>
        </w:rPr>
        <w:t xml:space="preserve">, except for critical aquifer recharge areas where a single-family detached house is an allowed use provided that any requirements to maintain aquifer recharge are met</w:t>
      </w:r>
      <w:r>
        <w:rPr/>
        <w:t xml:space="preserve">;</w:t>
      </w:r>
    </w:p>
    <w:p>
      <w:pPr>
        <w:spacing w:before="0" w:after="0" w:line="408" w:lineRule="exact"/>
        <w:ind w:left="0" w:right="0" w:firstLine="576"/>
        <w:jc w:val="left"/>
      </w:pPr>
      <w:r>
        <w:rPr/>
        <w:t xml:space="preserve">(b) A watershed serving a reservoir for potable water if that watershed is or was listed, as of July 23, 2023, as impaired or threatened under section 303(d) of the federal clean water act (33 U.S.C. Sec. 1313(d)); </w:t>
      </w:r>
      <w:r>
        <w:t>((</w:t>
      </w:r>
      <w:r>
        <w:rPr>
          <w:strike/>
        </w:rPr>
        <w:t xml:space="preserve">or</w:t>
      </w:r>
      <w:r>
        <w:t>))</w:t>
      </w:r>
    </w:p>
    <w:p>
      <w:pPr>
        <w:spacing w:before="0" w:after="0" w:line="408" w:lineRule="exact"/>
        <w:ind w:left="0" w:right="0" w:firstLine="576"/>
        <w:jc w:val="left"/>
      </w:pPr>
      <w:r>
        <w:rPr/>
        <w:t xml:space="preserve">(c) Lots that have been designated urban separators by countywide planning policies as of July 23, 2023</w:t>
      </w:r>
      <w:r>
        <w:rPr>
          <w:u w:val="single"/>
        </w:rPr>
        <w:t xml:space="preserve">; or</w:t>
      </w:r>
    </w:p>
    <w:p>
      <w:pPr>
        <w:spacing w:before="0" w:after="0" w:line="408" w:lineRule="exact"/>
        <w:ind w:left="0" w:right="0" w:firstLine="576"/>
        <w:jc w:val="left"/>
      </w:pPr>
      <w:r>
        <w:rPr>
          <w:u w:val="single"/>
        </w:rPr>
        <w:t xml:space="preserve">(d) A lot that was created through the splitting of a single residential lot</w:t>
      </w:r>
      <w:r>
        <w:rPr/>
        <w:t xml:space="preserve">.</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RCW 36.70A.638 does not have to update its capital facilities plan element required by RCW 36.70A.070(3) to accommodate the increased housing required by chapter 332, Laws of 2023 until the first periodic comprehensive plan update required for the city under RCW 36.70A.130(5) that occurs on or after June 30, 2034.</w:t>
      </w:r>
    </w:p>
    <w:p>
      <w:pPr>
        <w:spacing w:before="0" w:after="0" w:line="408" w:lineRule="exact"/>
        <w:ind w:left="0" w:right="0" w:firstLine="576"/>
        <w:jc w:val="left"/>
      </w:pPr>
      <w:r>
        <w:rPr>
          <w:u w:val="single"/>
        </w:rPr>
        <w:t xml:space="preserve">(13) Until June 30, 2026, for cities subject to a growth target adopted under RCW 36.70A.210 that limit the maximum residential capacity of the jurisdiction, any additional residential capacity required by this section for lots, parcels, and tracts with critical areas or critical area buffers outside of critical areas or their buffers may not be considered an inconsistency with the countywide planning policies, multicounty planning policies, or growth targets adopted under RCW 36.70A.210.</w:t>
      </w:r>
    </w:p>
    <w:p/>
    <w:p>
      <w:pPr>
        <w:jc w:val="center"/>
      </w:pPr>
      <w:r>
        <w:rPr>
          <w:b/>
        </w:rPr>
        <w:t>--- END ---</w:t>
      </w:r>
    </w:p>
    <w:sectPr>
      <w:pgNumType w:start="1"/>
      <w:footerReference xmlns:r="http://schemas.openxmlformats.org/officeDocument/2006/relationships" r:id="Rff471479b0e64b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1ab8d5cff45e4" /><Relationship Type="http://schemas.openxmlformats.org/officeDocument/2006/relationships/footer" Target="/word/footer1.xml" Id="Rff471479b0e64b71" /></Relationships>
</file>