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2d366f9eb418e" /></Relationships>
</file>

<file path=word/document.xml><?xml version="1.0" encoding="utf-8"?>
<w:document xmlns:w="http://schemas.openxmlformats.org/wordprocessingml/2006/main">
  <w:body>
    <w:p>
      <w:r>
        <w:t>H-2572.1</w:t>
      </w:r>
    </w:p>
    <w:p>
      <w:pPr>
        <w:jc w:val="center"/>
      </w:pPr>
      <w:r>
        <w:t>_______________________________________________</w:t>
      </w:r>
    </w:p>
    <w:p/>
    <w:p>
      <w:pPr>
        <w:jc w:val="center"/>
      </w:pPr>
      <w:r>
        <w:rPr>
          <w:b/>
        </w:rPr>
        <w:t>HOUSE BILL 2332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Griffey, Hutchins, Christian, Robertson, Rude, Volz, Schmidt, Walsh, Chambers, Corry, Eslick, Barkis, Sandlin, Goehner, Nance, Cheney, and Dent</w:t>
      </w:r>
    </w:p>
    <w:p/>
    <w:p>
      <w:r>
        <w:rPr>
          <w:t xml:space="preserve">Read first time 01/12/24.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justice and the recovery of firearms used in the commission of a crime; amending RCW 82.14.310, 82.14.320, and 82.14.330; and adding a new section to chapter 10.85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firearm bounty program is established to encourage persons to submit information to law enforcement to locate firearms that have been used in the commission of a crime. Any person who submits information to any peace officer, as defined in RCW 10.120.010, or to any agency with primary territorial jurisdiction, as defined in RCW 10.93.020, or to an entity that then forwards such information to a peace officer or such agency, that relates to the location of a firearm that has been used in the commission of a felony firearm offense is eligible to receive up to a $500 cash reward if that firearm is recovered. If the felony firearm offense related to the located firearm resulted in a criminal conviction, the person that submitted information relating to the location of the firearm is eligible to receive up to a $5,000 cash reward. A reward may not be paid to any law enforcement officer, any person that has an outstanding warrant, or to any federal, state, or local government or agency employee for information obtained by the individual in the normal course of their employment.</w:t>
      </w:r>
    </w:p>
    <w:p>
      <w:pPr>
        <w:spacing w:before="0" w:after="0" w:line="408" w:lineRule="exact"/>
        <w:ind w:left="0" w:right="0" w:firstLine="576"/>
        <w:jc w:val="left"/>
      </w:pPr>
      <w:r>
        <w:rPr/>
        <w:t xml:space="preserve">(2) The cash rewards authorized by this section shall be in accordance with RCW 10.85.050 and paid by the city or county associated with the peace officer or agency with primary territorial jurisdiction that recovered the firearm. Cities and counties may pay the cash rewards authorized in this section from funds received from the county criminal justice assistance account created in RCW 82.14.310 and the municipal criminal justice assistance account created in RCW 82.14.320.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2022 c 157 s 21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$23,200,000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1,000,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1,000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(b)(ii) of this subsection and the annual number of criminal cases that are filed as described under (b)(iii) of this subsection. Future distributions must be based on the most recent figures for both the crime rate as described under (b)(ii) of this subsection and the annual number of criminal cases that are filed as described under (b)(iii) of this subsection.</w:t>
      </w:r>
    </w:p>
    <w:p>
      <w:pPr>
        <w:spacing w:before="0" w:after="0" w:line="408" w:lineRule="exact"/>
        <w:ind w:left="0" w:right="0" w:firstLine="576"/>
        <w:jc w:val="left"/>
      </w:pPr>
      <w:r>
        <w:rPr/>
        <w:t xml:space="preserve">(3)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w:t>
      </w:r>
      <w:r>
        <w:t>((</w:t>
      </w:r>
      <w:r>
        <w:rPr>
          <w:strike/>
        </w:rPr>
        <w:t xml:space="preserve">during the 2001-2003 fiscal biennium, juvenile dispositional hearings relating to petitions for at-risk youth, truancy, and children in need of services</w:t>
      </w:r>
      <w:r>
        <w:t>))</w:t>
      </w:r>
      <w:r>
        <w:rPr/>
        <w:t xml:space="preserve"> </w:t>
      </w:r>
      <w:r>
        <w:rPr>
          <w:u w:val="single"/>
        </w:rPr>
        <w:t xml:space="preserve">payments made pursuant to section 1 of this act</w:t>
      </w:r>
      <w:r>
        <w:rPr/>
        <w:t xml:space="preserve">.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Each fiscal biennium, the sum of $510,000, may be appropriated for the Washington state patrol to provide investigative assistance and report services to assist local law enforcement agencies to prosecute criminals.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2021 c 296 s 3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$4,600,000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125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150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30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175 percent of the statewide average crime rate. No city may receive more than 50 percent of any moneys distributed under this subsection </w:t>
      </w:r>
      <w:r>
        <w:t>((</w:t>
      </w:r>
      <w:r>
        <w:rPr>
          <w:strike/>
        </w:rPr>
        <w:t xml:space="preserve">[(3)]</w:t>
      </w:r>
      <w:r>
        <w:t>))</w:t>
      </w:r>
      <w:r>
        <w:rPr/>
        <w:t xml:space="preserve"> </w:t>
      </w:r>
      <w:r>
        <w:rPr>
          <w:u w:val="single"/>
        </w:rPr>
        <w:t xml:space="preserve">(3)</w:t>
      </w:r>
      <w:r>
        <w:rPr/>
        <w:t xml:space="preserve">(a) but, if a city distribution is reduced as a result of exceeding the 50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30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justice system occurs, and which includes </w:t>
      </w:r>
      <w:r>
        <w:t>((</w:t>
      </w:r>
      <w:r>
        <w:rPr>
          <w:strike/>
        </w:rPr>
        <w:t xml:space="preserve">domestic</w:t>
      </w:r>
      <w:r>
        <w:t>))</w:t>
      </w:r>
      <w:r>
        <w:rPr>
          <w:u w:val="single"/>
        </w:rPr>
        <w:t xml:space="preserve">: (a) Domestic</w:t>
      </w:r>
      <w:r>
        <w:rPr/>
        <w:t xml:space="preserve"> violence services such as those provided by domestic violence programs, community advocates, and legal advocates, as defined in RCW 70.123.020</w:t>
      </w:r>
      <w:r>
        <w:t>((</w:t>
      </w:r>
      <w:r>
        <w:rPr>
          <w:strike/>
        </w:rPr>
        <w:t xml:space="preserve">, and</w:t>
      </w:r>
      <w:r>
        <w:t>))</w:t>
      </w:r>
      <w:r>
        <w:rPr>
          <w:u w:val="single"/>
        </w:rPr>
        <w:t xml:space="preserve">; (b) payments made pursuant to section 1 of this act; and (c)</w:t>
      </w:r>
      <w:r>
        <w:rPr/>
        <w:t xml:space="preserve">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2021 c 296 s 4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$4,600,000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20 percent appropriated for distribution must be distributed to cities with a three-year average violent crime rate for each 1,000 in population in excess of 150 percent of the statewide three-year average violent crime rate for each 1,000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10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16 percent must be distributed to cities ratably based on population as last determined by the office of financial management, but no city may receive less than $1,000.</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w:t>
      </w:r>
      <w:r>
        <w:rPr>
          <w:u w:val="single"/>
        </w:rPr>
        <w:t xml:space="preserve">; and payments made pursuant to section 1 of this act</w:t>
      </w:r>
      <w:r>
        <w:rPr/>
        <w:t xml:space="preserve">.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10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54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10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
      <w:pPr>
        <w:jc w:val="center"/>
      </w:pPr>
      <w:r>
        <w:rPr>
          <w:b/>
        </w:rPr>
        <w:t>--- END ---</w:t>
      </w:r>
    </w:p>
    <w:sectPr>
      <w:pgNumType w:start="1"/>
      <w:footerReference xmlns:r="http://schemas.openxmlformats.org/officeDocument/2006/relationships" r:id="R19f203e6b7564c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1149a03db4db2" /><Relationship Type="http://schemas.openxmlformats.org/officeDocument/2006/relationships/footer" Target="/word/footer1.xml" Id="R19f203e6b7564ce1" /></Relationships>
</file>