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fd1d9be2d4def" /></Relationships>
</file>

<file path=word/document.xml><?xml version="1.0" encoding="utf-8"?>
<w:document xmlns:w="http://schemas.openxmlformats.org/wordprocessingml/2006/main">
  <w:body>
    <w:p>
      <w:r>
        <w:t>H-2460.1</w:t>
      </w:r>
    </w:p>
    <w:p>
      <w:pPr>
        <w:jc w:val="center"/>
      </w:pPr>
      <w:r>
        <w:t>_______________________________________________</w:t>
      </w:r>
    </w:p>
    <w:p/>
    <w:p>
      <w:pPr>
        <w:jc w:val="center"/>
      </w:pPr>
      <w:r>
        <w:rPr>
          <w:b/>
        </w:rPr>
        <w:t>HOUSE BILL 2333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Walen, Chapman, Springer, and Ramel</w:t>
      </w:r>
    </w:p>
    <w:p/>
    <w:p>
      <w:r>
        <w:rPr>
          <w:t xml:space="preserve">Read first time 01/12/24.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carbon sequestration potential of state-owned lands for the purpose of generating offset credits under the climate commitment act; amending RCW 70A.65.210;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in collaboration with the departments of ecology and enterprise services, shall conduct an assessment of state-owned assets in both the natural and built environment with potential to generate carbon offset credits as defined in RCW 70A.65.010 for the state's carbon market. The assessment must also include an analysis of the offset credit potential under protocols that the state might adopt in the future by rule, including offset protocols in voluntary carbon markets.</w:t>
      </w:r>
    </w:p>
    <w:p>
      <w:pPr>
        <w:spacing w:before="0" w:after="0" w:line="408" w:lineRule="exact"/>
        <w:ind w:left="0" w:right="0" w:firstLine="576"/>
        <w:jc w:val="left"/>
      </w:pPr>
      <w:r>
        <w:rPr/>
        <w:t xml:space="preserve">(2)(a) The department of natural resources, in collaboration with the departments of ecology and enterprise services, must coordinate with the following agencies to complete the assessment:</w:t>
      </w:r>
    </w:p>
    <w:p>
      <w:pPr>
        <w:spacing w:before="0" w:after="0" w:line="408" w:lineRule="exact"/>
        <w:ind w:left="0" w:right="0" w:firstLine="576"/>
        <w:jc w:val="left"/>
      </w:pPr>
      <w:r>
        <w:rPr/>
        <w:t xml:space="preserve">(i) The department of fish and wildlife;</w:t>
      </w:r>
    </w:p>
    <w:p>
      <w:pPr>
        <w:spacing w:before="0" w:after="0" w:line="408" w:lineRule="exact"/>
        <w:ind w:left="0" w:right="0" w:firstLine="576"/>
        <w:jc w:val="left"/>
      </w:pPr>
      <w:r>
        <w:rPr/>
        <w:t xml:space="preserve">(ii) The state parks and recreation commission; and</w:t>
      </w:r>
    </w:p>
    <w:p>
      <w:pPr>
        <w:spacing w:before="0" w:after="0" w:line="408" w:lineRule="exact"/>
        <w:ind w:left="0" w:right="0" w:firstLine="576"/>
        <w:jc w:val="left"/>
      </w:pPr>
      <w:r>
        <w:rPr/>
        <w:t xml:space="preserve">(iii) The department of transportation.</w:t>
      </w:r>
    </w:p>
    <w:p>
      <w:pPr>
        <w:spacing w:before="0" w:after="0" w:line="408" w:lineRule="exact"/>
        <w:ind w:left="0" w:right="0" w:firstLine="576"/>
        <w:jc w:val="left"/>
      </w:pPr>
      <w:r>
        <w:rPr/>
        <w:t xml:space="preserve">(b) The department of natural resources, in collaboration with the departments of ecology and enterprise services, may coordinate with other state agencies as necessary to complete a comprehensive analysis of carbon offset potential from state-owned lands.</w:t>
      </w:r>
    </w:p>
    <w:p>
      <w:pPr>
        <w:spacing w:before="0" w:after="0" w:line="408" w:lineRule="exact"/>
        <w:ind w:left="0" w:right="0" w:firstLine="576"/>
        <w:jc w:val="left"/>
      </w:pPr>
      <w:r>
        <w:rPr/>
        <w:t xml:space="preserve">(3) By July 1, 2025, and in compliance with RCW 43.01.036, the department of natural resources, in collaboration with the departments of ecology and enterprise services, must provide a report to the legislature that includes the results of the assessment and any related recommendations, including recommendations for future coordination with local governments.</w:t>
      </w:r>
    </w:p>
    <w:p>
      <w:pPr>
        <w:spacing w:before="0" w:after="0" w:line="408" w:lineRule="exact"/>
        <w:ind w:left="0" w:right="0" w:firstLine="576"/>
        <w:jc w:val="left"/>
      </w:pPr>
      <w:r>
        <w:rPr/>
        <w:t xml:space="preserve">(4) The department of ecology may not enter into a linkage agreement pursuant to RCW 70A.65.210 until the assessment required by this section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210</w:t>
      </w:r>
      <w:r>
        <w:rPr/>
        <w:t xml:space="preserve"> and 2021 c 316 s 24 are each amended to read as follows:</w:t>
      </w:r>
    </w:p>
    <w:p>
      <w:pPr>
        <w:spacing w:before="0" w:after="0" w:line="408" w:lineRule="exact"/>
        <w:ind w:left="0" w:right="0" w:firstLine="576"/>
        <w:jc w:val="left"/>
      </w:pP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w:t>
      </w:r>
      <w:r>
        <w:rPr>
          <w:u w:val="single"/>
        </w:rPr>
        <w:t xml:space="preserve">The department may not enter into a linkage agreement until after the assessment directed in section 1 of this act has been completed.</w:t>
      </w:r>
    </w:p>
    <w:p>
      <w:pPr>
        <w:spacing w:before="0" w:after="0" w:line="408" w:lineRule="exact"/>
        <w:ind w:left="0" w:right="0" w:firstLine="576"/>
        <w:jc w:val="left"/>
      </w:pPr>
      <w:r>
        <w:rPr>
          <w:u w:val="single"/>
        </w:rPr>
        <w:t xml:space="preserve">(5)</w:t>
      </w:r>
      <w:r>
        <w:rPr/>
        <w:t xml:space="preserve"> The state retains all legal and policymaking authority over its program design and enforcement.</w:t>
      </w:r>
    </w:p>
    <w:p/>
    <w:p>
      <w:pPr>
        <w:jc w:val="center"/>
      </w:pPr>
      <w:r>
        <w:rPr>
          <w:b/>
        </w:rPr>
        <w:t>--- END ---</w:t>
      </w:r>
    </w:p>
    <w:sectPr>
      <w:pgNumType w:start="1"/>
      <w:footerReference xmlns:r="http://schemas.openxmlformats.org/officeDocument/2006/relationships" r:id="R5f17e56b0659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801d1af5440ac" /><Relationship Type="http://schemas.openxmlformats.org/officeDocument/2006/relationships/footer" Target="/word/footer1.xml" Id="R5f17e56b06594b51" /></Relationships>
</file>