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6455dad14416c" /></Relationships>
</file>

<file path=word/document.xml><?xml version="1.0" encoding="utf-8"?>
<w:document xmlns:w="http://schemas.openxmlformats.org/wordprocessingml/2006/main">
  <w:body>
    <w:p>
      <w:r>
        <w:t>H-2613.1</w:t>
      </w:r>
    </w:p>
    <w:p>
      <w:pPr>
        <w:jc w:val="center"/>
      </w:pPr>
      <w:r>
        <w:t>_______________________________________________</w:t>
      </w:r>
    </w:p>
    <w:p/>
    <w:p>
      <w:pPr>
        <w:jc w:val="center"/>
      </w:pPr>
      <w:r>
        <w:rPr>
          <w:b/>
        </w:rPr>
        <w:t>HOUSE BILL 2384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Fitzgibbon, Walen, and Pollet</w:t>
      </w:r>
    </w:p>
    <w:p/>
    <w:p>
      <w:r>
        <w:rPr>
          <w:t xml:space="preserve">Read first time 01/16/24.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46.63.075, and 46.68.480;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and stopping or traveling in restricted lane violations.</w:t>
      </w:r>
    </w:p>
    <w:p>
      <w:pPr>
        <w:spacing w:before="0" w:after="0" w:line="408" w:lineRule="exact"/>
        <w:ind w:left="0" w:right="0" w:firstLine="576"/>
        <w:jc w:val="left"/>
      </w:pPr>
      <w:r>
        <w:rPr/>
        <w:t xml:space="preserve">(2) "Freeway-limited access highway" means a fully controlled limited access highway of four or more traffic lanes with the opposing traffic lanes separated by a median strip of arbitrary width.</w:t>
      </w:r>
    </w:p>
    <w:p>
      <w:pPr>
        <w:spacing w:before="0" w:after="0" w:line="408" w:lineRule="exact"/>
        <w:ind w:left="0" w:right="0" w:firstLine="576"/>
        <w:jc w:val="left"/>
      </w:pPr>
      <w:r>
        <w:rPr/>
        <w:t xml:space="preserve">(3)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(4)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(5)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(6) "School speed zone" means the marked crosswalk adjacent to a school and the 300 feet in either direction of the crosswalk on a roadway as indicated by standard school speed limit signs or standard playground speed limit signs.</w:t>
      </w:r>
    </w:p>
    <w:p>
      <w:pPr>
        <w:spacing w:before="0" w:after="0" w:line="408" w:lineRule="exact"/>
        <w:ind w:left="0" w:right="0" w:firstLine="576"/>
        <w:jc w:val="left"/>
      </w:pPr>
      <w:r>
        <w:rPr/>
        <w:t xml:space="preserve">(7) "School walk zone" means a roadway identified under RCW 28A.160.160 or roadways within a one-mile radius of a school which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Cities and counties may authorize the use of traffic safety cameras through an ordinance adopted by the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or relocating any existing camera to a new location within the jurisdiction. The analysis must include equity considerations including the impact of the camera placement on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(4) Automated traffic safety cameras may not be used on an on-ramp to an interstate.</w:t>
      </w:r>
    </w:p>
    <w:p>
      <w:pPr>
        <w:spacing w:before="0" w:after="0" w:line="408" w:lineRule="exact"/>
        <w:ind w:left="0" w:right="0" w:firstLine="576"/>
        <w:jc w:val="left"/>
      </w:pPr>
      <w:r>
        <w:rPr/>
        <w:t xml:space="preserve">(5) A city government may use automated traffic safety cameras to enforce traffic ordinances in this section on state routes that are not freeway-limited access highways.</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 Cities and counties using automated traffic safety cameras must post an annual report on the city or county's website of the number of traffic crashes that occurred at each location where an automated traffic safety camera is located, as well as the number of notices of infraction issued for each camera.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picture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(16)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(16) of this section. If appropriate under the circumstances, a renter identified under subsection (16)(a)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(13) A county or a city may only use revenue generated by an automated traffic safety camera program as authorized under this section for traffic safety purposes including, but not limited to, projects designed to implement the complete streets approach as defined in RCW 47.04.010, changes in physical infrastructure to reduce speeds through road design, changes to improve safety for active transportation users, improve access and safety for road users with mobility, sight, or other disabilities, or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the amount of a fine issued for other parking infractions within the jurisdiction. However, the amount of the fine issued for a traffic control signal violation detected through the use of an automated traffic safety camera may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(16) If the registered owner of the vehicle is a rental car business, the law enforcement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(17) A transit authority may not take disciplinary action, regarding a warning or infraction issued pursuant to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 crossing violations, subject to section 2 of this act.</w:t>
      </w:r>
    </w:p>
    <w:p>
      <w:pPr>
        <w:spacing w:before="0" w:after="0" w:line="408" w:lineRule="exact"/>
        <w:ind w:left="0" w:right="0" w:firstLine="576"/>
        <w:jc w:val="left"/>
      </w:pPr>
      <w:r>
        <w:rPr/>
        <w:t xml:space="preserve">(2) Automated traffic safety cameras at rail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zones;</w:t>
      </w:r>
    </w:p>
    <w:p>
      <w:pPr>
        <w:spacing w:before="0" w:after="0" w:line="408" w:lineRule="exact"/>
        <w:ind w:left="0" w:right="0" w:firstLine="576"/>
        <w:jc w:val="left"/>
      </w:pPr>
      <w:r>
        <w:rPr/>
        <w:t xml:space="preserve">(d) School walk zones; and</w:t>
      </w:r>
    </w:p>
    <w:p>
      <w:pPr>
        <w:spacing w:before="0" w:after="0" w:line="408" w:lineRule="exact"/>
        <w:ind w:left="0" w:right="0" w:firstLine="576"/>
        <w:jc w:val="left"/>
      </w:pPr>
      <w:r>
        <w:rPr/>
        <w:t xml:space="preserve">(e) State routes within city limits that are not a freeway-limited access highway.</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Subject to section 2 of this act, automated traffic safety cameras may be used in cities with populations of 90,000 residents or greater to detect one or more of the following violations:</w:t>
      </w:r>
    </w:p>
    <w:p>
      <w:pPr>
        <w:spacing w:before="0" w:after="0" w:line="408" w:lineRule="exact"/>
        <w:ind w:left="0" w:right="0" w:firstLine="576"/>
        <w:jc w:val="left"/>
      </w:pPr>
      <w:r>
        <w:rPr/>
        <w:t xml:space="preserve">(1) Stopping when traffic obstructed violations;</w:t>
      </w:r>
    </w:p>
    <w:p>
      <w:pPr>
        <w:spacing w:before="0" w:after="0" w:line="408" w:lineRule="exact"/>
        <w:ind w:left="0" w:right="0" w:firstLine="576"/>
        <w:jc w:val="left"/>
      </w:pPr>
      <w:r>
        <w:rPr/>
        <w:t xml:space="preserve">(2) Stopping at intersection or crosswalk violations;</w:t>
      </w:r>
    </w:p>
    <w:p>
      <w:pPr>
        <w:spacing w:before="0" w:after="0" w:line="408" w:lineRule="exact"/>
        <w:ind w:left="0" w:right="0" w:firstLine="576"/>
        <w:jc w:val="left"/>
      </w:pPr>
      <w:r>
        <w:rPr/>
        <w:t xml:space="preserve">(3) Public transportation only lane violations; or</w:t>
      </w:r>
    </w:p>
    <w:p>
      <w:pPr>
        <w:spacing w:before="0" w:after="0" w:line="408" w:lineRule="exact"/>
        <w:ind w:left="0" w:right="0" w:firstLine="576"/>
        <w:jc w:val="left"/>
      </w:pPr>
      <w:r>
        <w:rPr/>
        <w:t xml:space="preserve">(4) Stopping or traveling in restricted lane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noncommissioned officer and any public employee as designated by a city or county has the authority to review infractions detected through the use of an automated traffic safety camera under sections 2 through 6 of this act and issue notices of infraction consistent with section 2(9) of this act. Such officers and employees must be sufficiently trained in reviewing such infractions and issuing such notices</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w:t>
      </w:r>
      <w:r>
        <w:t>((</w:t>
      </w:r>
      <w:r>
        <w:rPr>
          <w:strike/>
        </w:rPr>
        <w:t xml:space="preserve">receipts from penalties collected under RCW 46.63.170</w:t>
      </w:r>
      <w:r>
        <w:t>))</w:t>
      </w:r>
      <w:r>
        <w:rPr/>
        <w:t xml:space="preserve"> </w:t>
      </w:r>
      <w:r>
        <w:rPr>
          <w:u w:val="single"/>
        </w:rPr>
        <w:t xml:space="preserve">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NumType w:start="1"/>
      <w:footerReference xmlns:r="http://schemas.openxmlformats.org/officeDocument/2006/relationships" r:id="R25e2bce6314c40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b714d8210420d" /><Relationship Type="http://schemas.openxmlformats.org/officeDocument/2006/relationships/footer" Target="/word/footer1.xml" Id="R25e2bce6314c40f8" /></Relationships>
</file>