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7c2812b364271" /></Relationships>
</file>

<file path=word/document.xml><?xml version="1.0" encoding="utf-8"?>
<w:document xmlns:w="http://schemas.openxmlformats.org/wordprocessingml/2006/main">
  <w:body>
    <w:p>
      <w:r>
        <w:t>H-2633.1</w:t>
      </w:r>
    </w:p>
    <w:p>
      <w:pPr>
        <w:jc w:val="center"/>
      </w:pPr>
      <w:r>
        <w:t>_______________________________________________</w:t>
      </w:r>
    </w:p>
    <w:p/>
    <w:p>
      <w:pPr>
        <w:jc w:val="center"/>
      </w:pPr>
      <w:r>
        <w:rPr>
          <w:b/>
        </w:rPr>
        <w:t>HOUSE BILL 2387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Rude, Corry, Sandlin, Caldier, Couture, Connors, Chambers, and Stokesbary</w:t>
      </w:r>
    </w:p>
    <w:p/>
    <w:p>
      <w:r>
        <w:rPr>
          <w:t xml:space="preserve">Read first time 01/16/24.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classified allocations to improve student outcomes; amending RCW 28A.150.260;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Beginning in the 2024-25 school year, in addition to the minimum allocations under (a) of this subsection, allocations for the following types of staff for each level of prototypical school must be provided.</w:t>
      </w:r>
    </w:p>
    <w:p>
      <w:pPr>
        <w:spacing w:before="0" w:after="0" w:line="408" w:lineRule="exact"/>
        <w:ind w:left="0" w:right="0" w:firstLine="576"/>
        <w:jc w:val="left"/>
      </w:pPr>
      <w:r>
        <w:rPr>
          <w:u w:val="single"/>
        </w:rPr>
        <w:t xml:space="preserve">(i) Amounts provided in this subsection (5)(c)(i) may be used only for salaries and benefits for teaching assistance, including any aspect of educational instructional services provided by classified employees.</w:t>
      </w:r>
    </w:p>
    <w:tbl>
      <w:tblPr>
        <w:tblW w:w="0" w:type="auto"/>
        <w:jc w:val="center"/>
        <w:tcMar>
          <w:tblCellMar>
            <w:top w:w="0" w:type="dxa"/>
          </w:tblCellMar>
        </w:tcMar>
        <w:tcMar>
          <w:tblCellMar>
            <w:left w:w="70" w:type="dxa"/>
            <w:right w:w="70" w:type="dxa"/>
          </w:tblCellMar>
        </w:tcMar>
      </w:tblPr>
      <w:tblGrid>
        <w:gridCol w:w="6140"/>
        <w:gridCol w:w="1340"/>
        <w:gridCol w:w="1340"/>
        <w:gridCol w:w="1340"/>
      </w:tblGrid>
      <w:tr>
        <w:tc>
          <w:tcPr>
            <w:tcW w:w="614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Elementary School</w:t>
            </w: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Middle School</w:t>
            </w: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High School</w:t>
            </w:r>
          </w:p>
        </w:tc>
      </w:tr>
      <w:tr>
        <w:tc>
          <w:tcPr>
            <w:tcW w:w="6140" w:type="dxa"/>
            <w:vAlign w:val="top"/>
            <w:tcMar>
              <w:left w:w="120"/>
            </w:tcMar>
            <w:tcMar>
              <w:right w:w="120"/>
            </w:tcMar>
            <w:tcMar>
              <w:top w:w="40"/>
            </w:tcMar>
            <w:tcMar>
              <w:bottom w:w="40"/>
            </w:tcMar>
          </w:tcPr>
          <w:p>
            <w:pPr>
              <w:spacing w:before="0" w:after="0" w:line="408" w:lineRule="exact"/>
              <w:ind w:left="0" w:right="0" w:firstLine="0"/>
              <w:jc w:val="left"/>
              <w:tabs>
                <w:tab w:val="right" w:leader="dot" w:pos="6128"/>
              </w:tabs>
            </w:pPr>
            <w:r>
              <w:rPr>
                <w:rFonts w:ascii="Times New Roman" w:hAnsi="Times New Roman"/>
                <w:sz w:val="20"/>
                <w:u w:val="single"/>
              </w:rPr>
              <w:t xml:space="preserve">Teaching assistance, including any aspect of educational instructional services provided by classified employees</w:t>
            </w:r>
            <w:r>
              <w:tab/>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1.000</w:t>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1.000</w:t>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1.000</w:t>
            </w:r>
          </w:p>
        </w:tc>
      </w:tr>
    </w:tbl>
    <w:p>
      <w:pPr>
        <w:spacing w:before="0" w:after="0" w:line="408" w:lineRule="exact"/>
        <w:ind w:left="0" w:right="0" w:firstLine="576"/>
        <w:jc w:val="left"/>
      </w:pPr>
      <w:r>
        <w:rPr>
          <w:u w:val="single"/>
        </w:rPr>
        <w:t xml:space="preserve">(ii) Amounts provided in this subsection (5)(c)(ii) may be used only for salaries and benefits for classified staff or contracts for services previously performed by classified staff.</w:t>
      </w:r>
    </w:p>
    <w:tbl>
      <w:tblPr>
        <w:tblW w:w="0" w:type="auto"/>
        <w:jc w:val="center"/>
        <w:tcMar>
          <w:tblCellMar>
            <w:top w:w="0" w:type="dxa"/>
          </w:tblCellMar>
        </w:tcMar>
        <w:tcMar>
          <w:tblCellMar>
            <w:left w:w="70" w:type="dxa"/>
            <w:right w:w="70" w:type="dxa"/>
          </w:tblCellMar>
        </w:tcMar>
      </w:tblPr>
      <w:tblGrid>
        <w:gridCol w:w="6140"/>
        <w:gridCol w:w="1340"/>
        <w:gridCol w:w="1340"/>
        <w:gridCol w:w="1340"/>
      </w:tblGrid>
      <w:tr>
        <w:tc>
          <w:tcPr>
            <w:tcW w:w="614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Elementary School</w:t>
            </w: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Middle School</w:t>
            </w: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High School</w:t>
            </w:r>
          </w:p>
        </w:tc>
      </w:tr>
      <w:tr>
        <w:tc>
          <w:tcPr>
            <w:tcW w:w="6140" w:type="dxa"/>
            <w:vAlign w:val="top"/>
            <w:tcMar>
              <w:left w:w="120"/>
            </w:tcMar>
            <w:tcMar>
              <w:right w:w="120"/>
            </w:tcMar>
            <w:tcMar>
              <w:top w:w="40"/>
            </w:tcMar>
            <w:tcMar>
              <w:bottom w:w="40"/>
            </w:tcMar>
          </w:tcPr>
          <w:p>
            <w:pPr>
              <w:spacing w:before="0" w:after="0" w:line="408" w:lineRule="exact"/>
              <w:ind w:left="0" w:right="0" w:firstLine="0"/>
              <w:jc w:val="left"/>
              <w:tabs>
                <w:tab w:val="right" w:leader="dot" w:pos="6128"/>
              </w:tabs>
            </w:pPr>
            <w:r>
              <w:rPr>
                <w:rFonts w:ascii="Times New Roman" w:hAnsi="Times New Roman"/>
                <w:sz w:val="20"/>
                <w:u w:val="single"/>
              </w:rPr>
              <w:t xml:space="preserve">Classified staff</w:t>
            </w:r>
            <w:r>
              <w:tab/>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1.000</w:t>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1.000</w:t>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1.000</w:t>
            </w:r>
          </w:p>
        </w:tc>
      </w:tr>
    </w:tbl>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addition to allocations provided under RCW 28A.150.260(5)(a), the superintendent of public instruction must allocate funding equivalent to the following classified staff units per prototypical school each year from the 2024-25 to 2026-27 school year, subject to (b) of this subsection, to address learning loss. Allocations under this section are provided solely for tutoring programs that use certificated staff, paraeducators, and trained volunteers to provide ongoing tutoring at least several times a week in small groups using structured curricula.</w:t>
      </w:r>
    </w:p>
    <w:tbl>
      <w:tblPr>
        <w:tblW w:w="0" w:type="auto"/>
        <w:jc w:val="center"/>
        <w:tcMar>
          <w:tblCellMar>
            <w:top w:w="0" w:type="dxa"/>
          </w:tblCellMar>
        </w:tcMar>
        <w:tcMar>
          <w:tblCellMar>
            <w:left w:w="70" w:type="dxa"/>
            <w:right w:w="70" w:type="dxa"/>
          </w:tblCellMar>
        </w:tcMar>
      </w:tblPr>
      <w:tblGrid>
        <w:gridCol w:w="6140"/>
        <w:gridCol w:w="1340"/>
        <w:gridCol w:w="1340"/>
        <w:gridCol w:w="1340"/>
      </w:tblGrid>
      <w:tr>
        <w:tc>
          <w:tcPr>
            <w:tcW w:w="6140" w:type="dxa"/>
            <w:vAlign w:val="top"/>
            <w:tcMar>
              <w:left w:w="120"/>
            </w:tcMar>
            <w:tcMar>
              <w:right w:w="120"/>
            </w:tcMar>
            <w:tcMar>
              <w:top w:w="40"/>
            </w:tcMar>
            <w:tcMar>
              <w:bottom w:w="40"/>
            </w:tcMar>
          </w:tcPr>
          <w:p>
            <w:pPr>
              <w:spacing w:before="0" w:after="0" w:line="408" w:lineRule="exact"/>
              <w:ind w:left="0" w:right="0" w:firstLine="0"/>
              <w:jc w:val="left"/>
            </w:pP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Elementary School</w:t>
            </w: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Middle School</w:t>
            </w:r>
          </w:p>
        </w:tc>
        <w:tc>
          <w:tcPr>
            <w:tcW w:w="13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High School</w:t>
            </w:r>
          </w:p>
        </w:tc>
      </w:tr>
      <w:tr>
        <w:tc>
          <w:tcPr>
            <w:tcW w:w="6140" w:type="dxa"/>
            <w:vAlign w:val="top"/>
            <w:tcMar>
              <w:left w:w="120"/>
            </w:tcMar>
            <w:tcMar>
              <w:right w:w="120"/>
            </w:tcMar>
            <w:tcMar>
              <w:top w:w="40"/>
            </w:tcMar>
            <w:tcMar>
              <w:bottom w:w="40"/>
            </w:tcMar>
          </w:tcPr>
          <w:p>
            <w:pPr>
              <w:spacing w:before="0" w:after="0" w:line="408" w:lineRule="exact"/>
              <w:ind w:left="0" w:right="0" w:firstLine="0"/>
              <w:jc w:val="left"/>
              <w:tabs>
                <w:tab w:val="right" w:leader="dot" w:pos="6128"/>
              </w:tabs>
            </w:pPr>
            <w:r>
              <w:rPr>
                <w:rFonts w:ascii="Times New Roman" w:hAnsi="Times New Roman"/>
                <w:sz w:val="20"/>
              </w:rPr>
              <w:t xml:space="preserve">Classified staff addressing learning loss</w:t>
            </w:r>
            <w:r>
              <w:tab/>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w:t>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w:t>
            </w:r>
          </w:p>
        </w:tc>
        <w:tc>
          <w:tcPr>
            <w:tcW w:w="134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w:t>
            </w:r>
          </w:p>
        </w:tc>
      </w:tr>
    </w:tbl>
    <w:p>
      <w:pPr>
        <w:spacing w:before="0" w:after="0" w:line="408" w:lineRule="exact"/>
        <w:ind w:left="0" w:right="0" w:firstLine="576"/>
        <w:jc w:val="left"/>
      </w:pPr>
      <w:r>
        <w:rPr/>
        <w:t xml:space="preserve">(b) In order to receive allocations under this section in the 2026-27 school year, a school district, charter school, or state-tribal compact school must show an increase in the percentage of students meeting the standards on the state math assessment or state English language arts assessment from the 2024-25 to 2025-26 school year in at least one of the groups listed in this subsection (1)(b). The office of the superintendent of public instruction must develop rules to implement this subsection (1)(b). Groups include:</w:t>
      </w:r>
    </w:p>
    <w:p>
      <w:pPr>
        <w:spacing w:before="0" w:after="0" w:line="408" w:lineRule="exact"/>
        <w:ind w:left="0" w:right="0" w:firstLine="576"/>
        <w:jc w:val="left"/>
      </w:pPr>
      <w:r>
        <w:rPr/>
        <w:t xml:space="preserve">(i) All students;</w:t>
      </w:r>
    </w:p>
    <w:p>
      <w:pPr>
        <w:spacing w:before="0" w:after="0" w:line="408" w:lineRule="exact"/>
        <w:ind w:left="0" w:right="0" w:firstLine="576"/>
        <w:jc w:val="left"/>
      </w:pPr>
      <w:r>
        <w:rPr/>
        <w:t xml:space="preserve">(ii) Low-income students; and</w:t>
      </w:r>
    </w:p>
    <w:p>
      <w:pPr>
        <w:spacing w:before="0" w:after="0" w:line="408" w:lineRule="exact"/>
        <w:ind w:left="0" w:right="0" w:firstLine="576"/>
        <w:jc w:val="left"/>
      </w:pPr>
      <w:r>
        <w:rPr/>
        <w:t xml:space="preserve">(iii) Student groups disproportionately impacted by the COVID-19 pandemic.</w:t>
      </w:r>
    </w:p>
    <w:p>
      <w:pPr>
        <w:spacing w:before="0" w:after="0" w:line="408" w:lineRule="exact"/>
        <w:ind w:left="0" w:right="0" w:firstLine="576"/>
        <w:jc w:val="left"/>
      </w:pPr>
      <w:r>
        <w:rPr/>
        <w:t xml:space="preserve">(2) Allocations under this section are not part of the state's statutory program of basic education.</w:t>
      </w:r>
    </w:p>
    <w:p>
      <w:pPr>
        <w:spacing w:before="0" w:after="0" w:line="408" w:lineRule="exact"/>
        <w:ind w:left="0" w:right="0" w:firstLine="576"/>
        <w:jc w:val="left"/>
      </w:pPr>
      <w:r>
        <w:rPr/>
        <w:t xml:space="preserve">(3) This section expires August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2024.</w:t>
      </w:r>
    </w:p>
    <w:p/>
    <w:p>
      <w:pPr>
        <w:jc w:val="center"/>
      </w:pPr>
      <w:r>
        <w:rPr>
          <w:b/>
        </w:rPr>
        <w:t>--- END ---</w:t>
      </w:r>
    </w:p>
    <w:sectPr>
      <w:pgNumType w:start="1"/>
      <w:footerReference xmlns:r="http://schemas.openxmlformats.org/officeDocument/2006/relationships" r:id="R20aee13700974d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03484cec34958" /><Relationship Type="http://schemas.openxmlformats.org/officeDocument/2006/relationships/footer" Target="/word/footer1.xml" Id="R20aee13700974d77" /></Relationships>
</file>