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7959cfe3e4c44" /></Relationships>
</file>

<file path=word/document.xml><?xml version="1.0" encoding="utf-8"?>
<w:document xmlns:w="http://schemas.openxmlformats.org/wordprocessingml/2006/main">
  <w:body>
    <w:p>
      <w:r>
        <w:t>H-2990.1</w:t>
      </w:r>
    </w:p>
    <w:p>
      <w:pPr>
        <w:jc w:val="center"/>
      </w:pPr>
      <w:r>
        <w:t>_______________________________________________</w:t>
      </w:r>
    </w:p>
    <w:p/>
    <w:p>
      <w:pPr>
        <w:jc w:val="center"/>
      </w:pPr>
      <w:r>
        <w:rPr>
          <w:b/>
        </w:rPr>
        <w:t>SUBSTITUTE HOUSE BILL 2437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Santos, Wylie, and Reeves)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retirement savings options for Washington businesses and their employees;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retirement futures task force is established to address the administrative structure and implementation needs for creating a state administered retirement program for private sector employers and employees. The task force members are as follows:</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director of the department of financial institutions or the director's designee; and</w:t>
      </w:r>
    </w:p>
    <w:p>
      <w:pPr>
        <w:spacing w:before="0" w:after="0" w:line="408" w:lineRule="exact"/>
        <w:ind w:left="0" w:right="0" w:firstLine="576"/>
        <w:jc w:val="left"/>
      </w:pPr>
      <w:r>
        <w:rPr/>
        <w:t xml:space="preserve">(d) The governor shall appoint six members representing:</w:t>
      </w:r>
    </w:p>
    <w:p>
      <w:pPr>
        <w:spacing w:before="0" w:after="0" w:line="408" w:lineRule="exact"/>
        <w:ind w:left="0" w:right="0" w:firstLine="576"/>
        <w:jc w:val="left"/>
      </w:pPr>
      <w:r>
        <w:rPr/>
        <w:t xml:space="preserve">(i) One member from the securities industry;</w:t>
      </w:r>
    </w:p>
    <w:p>
      <w:pPr>
        <w:spacing w:before="0" w:after="0" w:line="408" w:lineRule="exact"/>
        <w:ind w:left="0" w:right="0" w:firstLine="576"/>
        <w:jc w:val="left"/>
      </w:pPr>
      <w:r>
        <w:rPr/>
        <w:t xml:space="preserve">(ii) One member representing the interests of small, independent businesses in Washington;</w:t>
      </w:r>
    </w:p>
    <w:p>
      <w:pPr>
        <w:spacing w:before="0" w:after="0" w:line="408" w:lineRule="exact"/>
        <w:ind w:left="0" w:right="0" w:firstLine="576"/>
        <w:jc w:val="left"/>
      </w:pPr>
      <w:r>
        <w:rPr/>
        <w:t xml:space="preserve">(iii) One member representing minority and women-owned businesses;</w:t>
      </w:r>
    </w:p>
    <w:p>
      <w:pPr>
        <w:spacing w:before="0" w:after="0" w:line="408" w:lineRule="exact"/>
        <w:ind w:left="0" w:right="0" w:firstLine="576"/>
        <w:jc w:val="left"/>
      </w:pPr>
      <w:r>
        <w:rPr/>
        <w:t xml:space="preserve">(iv) One member representing the Washington asset building coalition;</w:t>
      </w:r>
    </w:p>
    <w:p>
      <w:pPr>
        <w:spacing w:before="0" w:after="0" w:line="408" w:lineRule="exact"/>
        <w:ind w:left="0" w:right="0" w:firstLine="576"/>
        <w:jc w:val="left"/>
      </w:pPr>
      <w:r>
        <w:rPr/>
        <w:t xml:space="preserve">(v) One member representing the insurance industry; and</w:t>
      </w:r>
    </w:p>
    <w:p>
      <w:pPr>
        <w:spacing w:before="0" w:after="0" w:line="408" w:lineRule="exact"/>
        <w:ind w:left="0" w:right="0" w:firstLine="576"/>
        <w:jc w:val="left"/>
      </w:pPr>
      <w:r>
        <w:rPr/>
        <w:t xml:space="preserve">(vi) One member representing a retirement advocacy organization.</w:t>
      </w:r>
    </w:p>
    <w:p>
      <w:pPr>
        <w:spacing w:before="0" w:after="0" w:line="408" w:lineRule="exact"/>
        <w:ind w:left="0" w:right="0" w:firstLine="576"/>
        <w:jc w:val="left"/>
      </w:pPr>
      <w:r>
        <w:rPr/>
        <w:t xml:space="preserve">(2) The task force shall choose its chair from among its legislative members. The legislative member from the majority caucus of the house of representatives shall convene the initial meeting of the task force.</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Conduct an in-depth analysis of the Washington small business retirement marketplace to understand why it has not achieved success in terms of higher participation rates, especially compared to other states, and recommend potential solutions or modifications for increasing engagement from private sector financial service corporations and employers;</w:t>
      </w:r>
    </w:p>
    <w:p>
      <w:pPr>
        <w:spacing w:before="0" w:after="0" w:line="408" w:lineRule="exact"/>
        <w:ind w:left="0" w:right="0" w:firstLine="576"/>
        <w:jc w:val="left"/>
      </w:pPr>
      <w:r>
        <w:rPr/>
        <w:t xml:space="preserve">(b) Examine whether a public retirement exchange model in which private financial advisors offer private retirement products would be a suitable alternative to the Washington small business retirement marketplace;</w:t>
      </w:r>
    </w:p>
    <w:p>
      <w:pPr>
        <w:spacing w:before="0" w:after="0" w:line="408" w:lineRule="exact"/>
        <w:ind w:left="0" w:right="0" w:firstLine="576"/>
        <w:jc w:val="left"/>
      </w:pPr>
      <w:r>
        <w:rPr/>
        <w:t xml:space="preserve">(c) Identify the feasibility of a state administered retirement program for private sector employers and employees, including an automatic enrollment individual retirement account program or a multiple employer retirement program, or both;</w:t>
      </w:r>
    </w:p>
    <w:p>
      <w:pPr>
        <w:spacing w:before="0" w:after="0" w:line="408" w:lineRule="exact"/>
        <w:ind w:left="0" w:right="0" w:firstLine="576"/>
        <w:jc w:val="left"/>
      </w:pPr>
      <w:r>
        <w:rPr/>
        <w:t xml:space="preserve">(d) Explore options for how a state administered retirement program could work in conjunction with the Washington small business retirement marketplace;</w:t>
      </w:r>
    </w:p>
    <w:p>
      <w:pPr>
        <w:spacing w:before="0" w:after="0" w:line="408" w:lineRule="exact"/>
        <w:ind w:left="0" w:right="0" w:firstLine="576"/>
        <w:jc w:val="left"/>
      </w:pPr>
      <w:r>
        <w:rPr/>
        <w:t xml:space="preserve">(e) Identify the necessary governing, administrative, and program structure for a state administered retirement program, including the following:</w:t>
      </w:r>
    </w:p>
    <w:p>
      <w:pPr>
        <w:spacing w:before="0" w:after="0" w:line="408" w:lineRule="exact"/>
        <w:ind w:left="0" w:right="0" w:firstLine="576"/>
        <w:jc w:val="left"/>
      </w:pPr>
      <w:r>
        <w:rPr/>
        <w:t xml:space="preserve">(i) Program requirements to comply with the internal revenue code, the employee retirement income security act of 1974, and other applicable federal and state laws;</w:t>
      </w:r>
    </w:p>
    <w:p>
      <w:pPr>
        <w:spacing w:before="0" w:after="0" w:line="408" w:lineRule="exact"/>
        <w:ind w:left="0" w:right="0" w:firstLine="576"/>
        <w:jc w:val="left"/>
      </w:pPr>
      <w:r>
        <w:rPr/>
        <w:t xml:space="preserve">(ii) Eligibility criteria for employees and employers;</w:t>
      </w:r>
    </w:p>
    <w:p>
      <w:pPr>
        <w:spacing w:before="0" w:after="0" w:line="408" w:lineRule="exact"/>
        <w:ind w:left="0" w:right="0" w:firstLine="576"/>
        <w:jc w:val="left"/>
      </w:pPr>
      <w:r>
        <w:rPr/>
        <w:t xml:space="preserve">(iii) Type of retirement account options available to plan participants;</w:t>
      </w:r>
    </w:p>
    <w:p>
      <w:pPr>
        <w:spacing w:before="0" w:after="0" w:line="408" w:lineRule="exact"/>
        <w:ind w:left="0" w:right="0" w:firstLine="576"/>
        <w:jc w:val="left"/>
      </w:pPr>
      <w:r>
        <w:rPr/>
        <w:t xml:space="preserve">(iv) Default investment contributions and escalation rates; and</w:t>
      </w:r>
    </w:p>
    <w:p>
      <w:pPr>
        <w:spacing w:before="0" w:after="0" w:line="408" w:lineRule="exact"/>
        <w:ind w:left="0" w:right="0" w:firstLine="576"/>
        <w:jc w:val="left"/>
      </w:pPr>
      <w:r>
        <w:rPr/>
        <w:t xml:space="preserve">(v) Investment strategies and a plan investment management;</w:t>
      </w:r>
    </w:p>
    <w:p>
      <w:pPr>
        <w:spacing w:before="0" w:after="0" w:line="408" w:lineRule="exact"/>
        <w:ind w:left="0" w:right="0" w:firstLine="576"/>
        <w:jc w:val="left"/>
      </w:pPr>
      <w:r>
        <w:rPr/>
        <w:t xml:space="preserve">(f) Examine the need for state agency involvement in:</w:t>
      </w:r>
    </w:p>
    <w:p>
      <w:pPr>
        <w:spacing w:before="0" w:after="0" w:line="408" w:lineRule="exact"/>
        <w:ind w:left="0" w:right="0" w:firstLine="576"/>
        <w:jc w:val="left"/>
      </w:pPr>
      <w:r>
        <w:rPr/>
        <w:t xml:space="preserve">(i) Educating employers and their employees on potential retirement options offered by the state;</w:t>
      </w:r>
    </w:p>
    <w:p>
      <w:pPr>
        <w:spacing w:before="0" w:after="0" w:line="408" w:lineRule="exact"/>
        <w:ind w:left="0" w:right="0" w:firstLine="576"/>
        <w:jc w:val="left"/>
      </w:pPr>
      <w:r>
        <w:rPr/>
        <w:t xml:space="preserve">(ii) Ensuring employer compliance, managing complaints and handling investigations, issuing penalties, and addressing appeals; and</w:t>
      </w:r>
    </w:p>
    <w:p>
      <w:pPr>
        <w:spacing w:before="0" w:after="0" w:line="408" w:lineRule="exact"/>
        <w:ind w:left="0" w:right="0" w:firstLine="576"/>
        <w:jc w:val="left"/>
      </w:pPr>
      <w:r>
        <w:rPr/>
        <w:t xml:space="preserve">(iii) Staffing or providing assistance in administering a state administered retirement program;</w:t>
      </w:r>
    </w:p>
    <w:p>
      <w:pPr>
        <w:spacing w:before="0" w:after="0" w:line="408" w:lineRule="exact"/>
        <w:ind w:left="0" w:right="0" w:firstLine="576"/>
        <w:jc w:val="left"/>
      </w:pPr>
      <w:r>
        <w:rPr/>
        <w:t xml:space="preserve">(g) Set forth recommendations for confidentiality and enforcement;</w:t>
      </w:r>
    </w:p>
    <w:p>
      <w:pPr>
        <w:spacing w:before="0" w:after="0" w:line="408" w:lineRule="exact"/>
        <w:ind w:left="0" w:right="0" w:firstLine="576"/>
        <w:jc w:val="left"/>
      </w:pPr>
      <w:r>
        <w:rPr/>
        <w:t xml:space="preserve">(h) Examine limitations on liability for employers, the state, an administrative body, and its members involved with potential governance and administration; and</w:t>
      </w:r>
    </w:p>
    <w:p>
      <w:pPr>
        <w:spacing w:before="0" w:after="0" w:line="408" w:lineRule="exact"/>
        <w:ind w:left="0" w:right="0" w:firstLine="576"/>
        <w:jc w:val="left"/>
      </w:pPr>
      <w:r>
        <w:rPr/>
        <w:t xml:space="preserve">(i) Identify a potential timeline for implementation of a state administered retirement program.</w:t>
      </w:r>
    </w:p>
    <w:p>
      <w:pPr>
        <w:spacing w:before="0" w:after="0" w:line="408" w:lineRule="exact"/>
        <w:ind w:left="0" w:right="0" w:firstLine="576"/>
        <w:jc w:val="left"/>
      </w:pPr>
      <w:r>
        <w:rPr/>
        <w:t xml:space="preserve">(4) Staff support for the task force is provided by the department of financial institutions.</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2024, and in accordance with RCW 43.01.036.</w:t>
      </w:r>
    </w:p>
    <w:p>
      <w:pPr>
        <w:spacing w:before="0" w:after="0" w:line="408" w:lineRule="exact"/>
        <w:ind w:left="0" w:right="0" w:firstLine="576"/>
        <w:jc w:val="left"/>
      </w:pPr>
      <w:r>
        <w:rPr/>
        <w:t xml:space="preserve">(7) This section expires August 1, 2025.</w:t>
      </w:r>
    </w:p>
    <w:p/>
    <w:p>
      <w:pPr>
        <w:jc w:val="center"/>
      </w:pPr>
      <w:r>
        <w:rPr>
          <w:b/>
        </w:rPr>
        <w:t>--- END ---</w:t>
      </w:r>
    </w:p>
    <w:sectPr>
      <w:pgNumType w:start="1"/>
      <w:footerReference xmlns:r="http://schemas.openxmlformats.org/officeDocument/2006/relationships" r:id="Rb37005f0b97546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21ed062174e01" /><Relationship Type="http://schemas.openxmlformats.org/officeDocument/2006/relationships/footer" Target="/word/footer1.xml" Id="Rb37005f0b9754620" /></Relationships>
</file>