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3c905be0d457d" /></Relationships>
</file>

<file path=word/document.xml><?xml version="1.0" encoding="utf-8"?>
<w:document xmlns:w="http://schemas.openxmlformats.org/wordprocessingml/2006/main">
  <w:body>
    <w:p>
      <w:r>
        <w:t>H-3037.1</w:t>
      </w:r>
    </w:p>
    <w:p>
      <w:pPr>
        <w:jc w:val="center"/>
      </w:pPr>
      <w:r>
        <w:t>_______________________________________________</w:t>
      </w:r>
    </w:p>
    <w:p/>
    <w:p>
      <w:pPr>
        <w:jc w:val="center"/>
      </w:pPr>
      <w:r>
        <w:rPr>
          <w:b/>
        </w:rPr>
        <w:t>SUBSTITUTE HOUSE BILL 2447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Senn, Callan, Ramel,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welfare process in circumstances involving high-potency synthetic opioids; amending RCW 13.34.050, 13.34.130, 26.44.050, 26.44.056, and 2.56.230; reenacting and amending RCW 13.34.030 and 13.34.065; adding new sections to chapter 43.216 RCW; adding a new section to chapter 74.14B RCW; adding new sections to chapter 41.05 RCW; adding a new section to chapter 74.13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highly potent synthetic opioids pose to vulnerable children. The legislature declares that public health guidance regarding the lethality of highly potent synthetic opioids should be given great weight in determining whether a child is at risk of imminent physical harm as a result of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related to high-potency synthetic opioids</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related to high-potency synthetic opioids when applying the requirements of this subsection</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related to high-potency synthetic opioids when applying the requirements of this subsection.</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related to high-potency synthetic opioids when applying the requirements of this subsection.</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w:t>
      </w:r>
    </w:p>
    <w:p>
      <w:pPr>
        <w:spacing w:before="0" w:after="0" w:line="408" w:lineRule="exact"/>
        <w:ind w:left="0" w:right="0" w:firstLine="576"/>
        <w:jc w:val="left"/>
      </w:pPr>
      <w:r>
        <w:rPr>
          <w:u w:val="single"/>
        </w:rPr>
        <w:t xml:space="preserve">(xvi) Policies and procedures of the department of children, youth, and families regarding safety and service planning including the differences between safety plans and service plans; and</w:t>
      </w:r>
    </w:p>
    <w:p>
      <w:pPr>
        <w:spacing w:before="0" w:after="0" w:line="408" w:lineRule="exact"/>
        <w:ind w:left="0" w:right="0" w:firstLine="576"/>
        <w:jc w:val="left"/>
      </w:pPr>
      <w:r>
        <w:rPr>
          <w:u w:val="single"/>
        </w:rPr>
        <w:t xml:space="preserve">(xvii)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administrator for the courts shall provide funding to a statewide organization focused on advocating for the best interest of children experiencing abuse and neglect to develop and provide training regarding:</w:t>
      </w:r>
    </w:p>
    <w:p>
      <w:pPr>
        <w:spacing w:before="0" w:after="0" w:line="408" w:lineRule="exact"/>
        <w:ind w:left="0" w:right="0" w:firstLine="576"/>
        <w:jc w:val="left"/>
      </w:pPr>
      <w:r>
        <w:rPr/>
        <w:t xml:space="preserve">(a) The risk and danger presented to children and youth by high-potency synthetic opioids; and</w:t>
      </w:r>
    </w:p>
    <w:p>
      <w:pPr>
        <w:spacing w:before="0" w:after="0" w:line="408" w:lineRule="exact"/>
        <w:ind w:left="0" w:right="0" w:firstLine="576"/>
        <w:jc w:val="left"/>
      </w:pPr>
      <w:r>
        <w:rPr/>
        <w:t xml:space="preserve">(b) The legal standards for removal of a child based on abuse or neglect.</w:t>
      </w:r>
    </w:p>
    <w:p>
      <w:pPr>
        <w:spacing w:before="0" w:after="0" w:line="408" w:lineRule="exact"/>
        <w:ind w:left="0" w:right="0" w:firstLine="576"/>
        <w:jc w:val="left"/>
      </w:pPr>
      <w:r>
        <w:rPr/>
        <w:t xml:space="preserve">(2) The training developed and provided under this section must be developed for and available to child welfare court professionals including, but not limited to:</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(3) The training developed and provided under this section must be developed and provided in a manner that allows and encourages a variety of child welfare court professionals to participate in the training. When possible, the training developed under this section must allow as many child welfare court professionals from a specific county to attend at the same time to allow those professionals to develop their working relationships.</w:t>
      </w:r>
    </w:p>
    <w:p>
      <w:pPr>
        <w:spacing w:before="0" w:after="0" w:line="408" w:lineRule="exact"/>
        <w:ind w:left="0" w:right="0" w:firstLine="576"/>
        <w:jc w:val="left"/>
      </w:pPr>
      <w:r>
        <w:rPr/>
        <w:t xml:space="preserve">(4) This section expires July 1, 2025.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implement and maintain a program that provides support to child welfare workers from public health nurses. The support provided by public health nurses under this section must include supporting child welfare workers in:</w:t>
      </w:r>
    </w:p>
    <w:p>
      <w:pPr>
        <w:spacing w:before="0" w:after="0" w:line="408" w:lineRule="exact"/>
        <w:ind w:left="0" w:right="0" w:firstLine="576"/>
        <w:jc w:val="left"/>
      </w:pPr>
      <w:r>
        <w:rPr/>
        <w:t xml:space="preserve">(1) Engaging and communicating with families about the risks of high-potency synthetic opioids and child health and safety practices; and</w:t>
      </w:r>
    </w:p>
    <w:p>
      <w:pPr>
        <w:spacing w:before="0" w:after="0" w:line="408" w:lineRule="exact"/>
        <w:ind w:left="0" w:right="0" w:firstLine="576"/>
        <w:jc w:val="left"/>
      </w:pPr>
      <w:r>
        <w:rPr/>
        <w:t xml:space="preserve">(2) Determining the level of risk presented to a child or children in specific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substance use disorder inpatient program that specializes in treating pregnant and parenting women using a family preservation model.</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 Funding provided under this section may be used for documented start-up costs including the recruitment, hiring, and training of staff.</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0" w:after="0" w:line="408" w:lineRule="exact"/>
        <w:ind w:left="0" w:right="0" w:firstLine="576"/>
        <w:jc w:val="left"/>
      </w:pPr>
      <w:r>
        <w:rPr/>
        <w:t xml:space="preserve">(4) Entities contracted to provide services authorized in subsection (1) of this section must allow families to reside together while a parent is receiving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including in a family's primary spoken language, for cases involving high-potency synthetic opioids in families who do not have natural supports to aid in safety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
      <w:pPr>
        <w:jc w:val="center"/>
      </w:pPr>
      <w:r>
        <w:rPr>
          <w:b/>
        </w:rPr>
        <w:t>--- END ---</w:t>
      </w:r>
    </w:p>
    <w:sectPr>
      <w:pgNumType w:start="1"/>
      <w:footerReference xmlns:r="http://schemas.openxmlformats.org/officeDocument/2006/relationships" r:id="R2f2e53da9bc1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06d09d5804781" /><Relationship Type="http://schemas.openxmlformats.org/officeDocument/2006/relationships/footer" Target="/word/footer1.xml" Id="R2f2e53da9bc1467e" /></Relationships>
</file>