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45d28c5de4022" /></Relationships>
</file>

<file path=word/document.xml><?xml version="1.0" encoding="utf-8"?>
<w:document xmlns:w="http://schemas.openxmlformats.org/wordprocessingml/2006/main">
  <w:body>
    <w:p>
      <w:r>
        <w:t>H-2790.1</w:t>
      </w:r>
    </w:p>
    <w:p>
      <w:pPr>
        <w:jc w:val="center"/>
      </w:pPr>
      <w:r>
        <w:t>_______________________________________________</w:t>
      </w:r>
    </w:p>
    <w:p/>
    <w:p>
      <w:pPr>
        <w:jc w:val="center"/>
      </w:pPr>
      <w:r>
        <w:rPr>
          <w:b/>
        </w:rPr>
        <w:t>HOUSE BILL 2459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Ramos, and Pollet</w:t>
      </w:r>
    </w:p>
    <w:p/>
    <w:p>
      <w:r>
        <w:rPr>
          <w:t xml:space="preserve">Read first time 01/23/24.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investment impact disclosures for certain alternative measures proposed by the legislature to initiatives to the legislature; and amending RCW 29A.72.027.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027</w:t>
      </w:r>
      <w:r>
        <w:rPr/>
        <w:t xml:space="preserve"> and 2022 c 114 s 2 are each amended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w:t>
      </w:r>
      <w:r>
        <w:rPr>
          <w:u w:val="single"/>
        </w:rPr>
        <w:t xml:space="preserve">When an initiative to the legislature requires a public investment impact disclosure under subsection (1) of this section, and the legislature passes an alternative measure to that initiative that does not require a public investment impact disclosure because it does not cause a net change in state revenue, the attorney general must prepare a public investment impact disclosure to describe the investments that will be maintained if the alternative measure is adopted instead of the initiative.</w:t>
      </w:r>
    </w:p>
    <w:p>
      <w:pPr>
        <w:spacing w:before="0" w:after="0" w:line="408" w:lineRule="exact"/>
        <w:ind w:left="0" w:right="0" w:firstLine="576"/>
        <w:jc w:val="left"/>
      </w:pPr>
      <w:r>
        <w:rPr>
          <w:u w:val="single"/>
        </w:rPr>
        <w:t xml:space="preserve">(3)</w:t>
      </w:r>
      <w:r>
        <w:rPr/>
        <w:t xml:space="preserve">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 </w:t>
      </w:r>
      <w:r>
        <w:rPr>
          <w:u w:val="single"/>
        </w:rPr>
        <w:t xml:space="preserve">The description of services in a public investment impact disclosure for an alternative measure under subsection (2) of this section must match the description of services in the disclosure for the initiative to the legislature.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format of the public investment impact disclosure, as it appears on the ballot, is:</w:t>
      </w:r>
    </w:p>
    <w:p>
      <w:pPr>
        <w:spacing w:before="0" w:after="0" w:line="408" w:lineRule="exact"/>
        <w:ind w:left="0" w:right="0" w:firstLine="576"/>
        <w:jc w:val="left"/>
      </w:pPr>
      <w:r>
        <w:rPr/>
        <w:t xml:space="preserve">"This measure would (increase</w:t>
      </w:r>
      <w:r>
        <w:rPr>
          <w:u w:val="single"/>
        </w:rPr>
        <w:t xml:space="preserve">, maintain,</w:t>
      </w:r>
      <w:r>
        <w:rPr/>
        <w:t xml:space="preserve"> or decrease) funding for (description of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drafting the public investment impact disclosure, the attorney general must use neutral language that cannot reasonably be expected to create prejudice for or against the measure. The language of the disclosure is not subject to appeal, except as provided in chapter 114, Laws of 2022.</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attorney general must file the public investment impact disclosure with the secretary of state no later than July 23rd.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of state must certify the public investment impact disclosure and timely transmit it to each county auditor for its inclusion on the ballot.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Public investment impact disclosures are not considered part of the ballot title under this chapter and are not subject to any of the legal requirements for ballot titles.</w:t>
      </w:r>
    </w:p>
    <w:p/>
    <w:p>
      <w:pPr>
        <w:jc w:val="center"/>
      </w:pPr>
      <w:r>
        <w:rPr>
          <w:b/>
        </w:rPr>
        <w:t>--- END ---</w:t>
      </w:r>
    </w:p>
    <w:sectPr>
      <w:pgNumType w:start="1"/>
      <w:footerReference xmlns:r="http://schemas.openxmlformats.org/officeDocument/2006/relationships" r:id="R68a8d16d2ddf4c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7526fe01846dd" /><Relationship Type="http://schemas.openxmlformats.org/officeDocument/2006/relationships/footer" Target="/word/footer1.xml" Id="R68a8d16d2ddf4cf7" /></Relationships>
</file>