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29b26c1274a93" /></Relationships>
</file>

<file path=word/document.xml><?xml version="1.0" encoding="utf-8"?>
<w:document xmlns:w="http://schemas.openxmlformats.org/wordprocessingml/2006/main">
  <w:body>
    <w:p>
      <w:r>
        <w:t>H-2303.1</w:t>
      </w:r>
    </w:p>
    <w:p>
      <w:pPr>
        <w:jc w:val="center"/>
      </w:pPr>
      <w:r>
        <w:t>_______________________________________________</w:t>
      </w:r>
    </w:p>
    <w:p/>
    <w:p>
      <w:pPr>
        <w:jc w:val="center"/>
      </w:pPr>
      <w:r>
        <w:rPr>
          <w:b/>
        </w:rPr>
        <w:t>HOUSE BILL 2460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Connors, Barkis, and Hutchins</w:t>
      </w:r>
    </w:p>
    <w:p/>
    <w:p>
      <w:r>
        <w:rPr>
          <w:t xml:space="preserve">Read first time 01/23/24.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evictions of residential tenants after a property owner elects to sell a unit or apartment in a common interest community; and amending RCW 59.18.650.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w:t>
      </w:r>
      <w:r>
        <w:rPr>
          <w:u w:val="single"/>
        </w:rPr>
        <w:t xml:space="preserve">, a unit as that term is defined in RCW 64.90.010 or 64.34.020, or an apartment as that term is defined in RCW 64.32.010,</w:t>
      </w:r>
      <w:r>
        <w:rPr/>
        <w:t xml:space="preserve"> and the landlord has provided at least 90 days' advance written notice of the date the tenant's possession is to end. For the purposes of this subsection (2)(e), an owner "elects to sell" when the owner makes reasonable attempts to sell the </w:t>
      </w:r>
      <w:r>
        <w:t>((</w:t>
      </w:r>
      <w:r>
        <w:rPr>
          <w:strike/>
        </w:rPr>
        <w:t xml:space="preserve">dwelling</w:t>
      </w:r>
      <w:r>
        <w:t>))</w:t>
      </w:r>
      <w:r>
        <w:rPr/>
        <w:t xml:space="preserve"> </w:t>
      </w:r>
      <w:r>
        <w:rPr>
          <w:u w:val="single"/>
        </w:rPr>
        <w:t xml:space="preserve">property</w:t>
      </w:r>
      <w:r>
        <w:rPr/>
        <w:t xml:space="preserve">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w:t>
      </w:r>
      <w:r>
        <w:t>((</w:t>
      </w:r>
      <w:r>
        <w:rPr>
          <w:strike/>
        </w:rPr>
        <w:t xml:space="preserve">unit</w:t>
      </w:r>
      <w:r>
        <w:t>))</w:t>
      </w:r>
      <w:r>
        <w:rPr/>
        <w:t xml:space="preserve"> </w:t>
      </w:r>
      <w:r>
        <w:rPr>
          <w:u w:val="single"/>
        </w:rPr>
        <w:t xml:space="preserve">property</w:t>
      </w:r>
      <w:r>
        <w:rPr/>
        <w:t xml:space="preserve"> if:</w:t>
      </w:r>
    </w:p>
    <w:p>
      <w:pPr>
        <w:spacing w:before="0" w:after="0" w:line="408" w:lineRule="exact"/>
        <w:ind w:left="0" w:right="0" w:firstLine="576"/>
        <w:jc w:val="left"/>
      </w:pPr>
      <w:r>
        <w:rPr/>
        <w:t xml:space="preserve">(i) Within 30 days after the tenant has vacated, the owner does not list the </w:t>
      </w:r>
      <w:r>
        <w:t>((</w:t>
      </w:r>
      <w:r>
        <w:rPr>
          <w:strike/>
        </w:rPr>
        <w:t xml:space="preserve">single-family dwelling unit</w:t>
      </w:r>
      <w:r>
        <w:t>))</w:t>
      </w:r>
      <w:r>
        <w:rPr/>
        <w:t xml:space="preserve"> </w:t>
      </w:r>
      <w:r>
        <w:rPr>
          <w:u w:val="single"/>
        </w:rPr>
        <w:t xml:space="preserve">property</w:t>
      </w:r>
      <w:r>
        <w:rPr/>
        <w:t xml:space="preserve">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w:t>
      </w:r>
      <w:r>
        <w:t>((</w:t>
      </w:r>
      <w:r>
        <w:rPr>
          <w:strike/>
        </w:rPr>
        <w:t xml:space="preserve">rental unit</w:t>
      </w:r>
      <w:r>
        <w:t>))</w:t>
      </w:r>
      <w:r>
        <w:rPr/>
        <w:t xml:space="preserve"> </w:t>
      </w:r>
      <w:r>
        <w:rPr>
          <w:u w:val="single"/>
        </w:rPr>
        <w:t xml:space="preserve">property</w:t>
      </w:r>
      <w:r>
        <w:rPr/>
        <w:t xml:space="preserve"> from the market, the landlord rents the </w:t>
      </w:r>
      <w:r>
        <w:t>((</w:t>
      </w:r>
      <w:r>
        <w:rPr>
          <w:strike/>
        </w:rPr>
        <w:t xml:space="preserve">unit</w:t>
      </w:r>
      <w:r>
        <w:t>))</w:t>
      </w:r>
      <w:r>
        <w:rPr/>
        <w:t xml:space="preserve"> </w:t>
      </w:r>
      <w:r>
        <w:rPr>
          <w:u w:val="single"/>
        </w:rPr>
        <w:t xml:space="preserve">property</w:t>
      </w:r>
      <w:r>
        <w:rPr/>
        <w:t xml:space="preserve"> to someone other than the former tenant, or the landlord otherwise indicates that the owner does not intend to sell the </w:t>
      </w:r>
      <w:r>
        <w:t>((</w:t>
      </w:r>
      <w:r>
        <w:rPr>
          <w:strike/>
        </w:rPr>
        <w:t xml:space="preserve">unit</w:t>
      </w:r>
      <w:r>
        <w:t>))</w:t>
      </w:r>
      <w:r>
        <w:rPr/>
        <w:t xml:space="preserve"> </w:t>
      </w:r>
      <w:r>
        <w:rPr>
          <w:u w:val="single"/>
        </w:rPr>
        <w:t xml:space="preserve">property</w:t>
      </w:r>
      <w:r>
        <w:rPr/>
        <w:t xml:space="preserve">;</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64.34.440 or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
      <w:pPr>
        <w:jc w:val="center"/>
      </w:pPr>
      <w:r>
        <w:rPr>
          <w:b/>
        </w:rPr>
        <w:t>--- END ---</w:t>
      </w:r>
    </w:p>
    <w:sectPr>
      <w:pgNumType w:start="1"/>
      <w:footerReference xmlns:r="http://schemas.openxmlformats.org/officeDocument/2006/relationships" r:id="R0f6784eb11f043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177cef8ea1456c" /><Relationship Type="http://schemas.openxmlformats.org/officeDocument/2006/relationships/footer" Target="/word/footer1.xml" Id="R0f6784eb11f0432b" /></Relationships>
</file>