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991798e8d43bf" /></Relationships>
</file>

<file path=word/document.xml><?xml version="1.0" encoding="utf-8"?>
<w:document xmlns:w="http://schemas.openxmlformats.org/wordprocessingml/2006/main">
  <w:body>
    <w:p>
      <w:r>
        <w:t>H-2826.1</w:t>
      </w:r>
    </w:p>
    <w:p>
      <w:pPr>
        <w:jc w:val="center"/>
      </w:pPr>
      <w:r>
        <w:t>_______________________________________________</w:t>
      </w:r>
    </w:p>
    <w:p/>
    <w:p>
      <w:pPr>
        <w:jc w:val="center"/>
      </w:pPr>
      <w:r>
        <w:rPr>
          <w:b/>
        </w:rPr>
        <w:t>HOUSE BILL 2478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Hackney, Goodman, and Pollet</w:t>
      </w:r>
    </w:p>
    <w:p/>
    <w:p>
      <w:r>
        <w:rPr>
          <w:t xml:space="preserve">Read first time 01/25/24.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postconviction review, clemency, and pardons; amending RCW 9.94A.501, 9.94A.565, 9.94A.633, 9.94A.728, and 9.94A.880; reenacting and amending RCW 9.94A.885; adding new sections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chapter 1, Laws of 1994 </w:t>
      </w:r>
      <w:r>
        <w:rPr>
          <w:u w:val="single"/>
        </w:rPr>
        <w:t xml:space="preserve">or chapter 10.95 RCW</w:t>
      </w:r>
      <w:r>
        <w:rPr/>
        <w:t xml:space="preserve"> shall ever be interpreted or construed as to reduce or eliminate the power of the governor to grant a pardon or clemency to any </w:t>
      </w:r>
      <w:r>
        <w:t>((</w:t>
      </w:r>
      <w:r>
        <w:rPr>
          <w:strike/>
        </w:rPr>
        <w:t xml:space="preserve">offender</w:t>
      </w:r>
      <w:r>
        <w:t>))</w:t>
      </w:r>
      <w:r>
        <w:rPr/>
        <w:t xml:space="preserve"> </w:t>
      </w:r>
      <w:r>
        <w:rPr>
          <w:u w:val="single"/>
        </w:rPr>
        <w:t xml:space="preserve">incarcerated individual</w:t>
      </w:r>
      <w:r>
        <w:rPr/>
        <w:t xml:space="preserve">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incarcerated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incarcerated individual was sentenced pursuant to chapter 10.95 RCW;</w:t>
      </w:r>
    </w:p>
    <w:p>
      <w:pPr>
        <w:spacing w:before="0" w:after="0" w:line="408" w:lineRule="exact"/>
        <w:ind w:left="0" w:right="0" w:firstLine="576"/>
        <w:jc w:val="left"/>
      </w:pPr>
      <w:r>
        <w:rPr>
          <w:u w:val="single"/>
        </w:rPr>
        <w:t xml:space="preserve">(b) Incarcerated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under the mental health sentencing alternative set out in RCW 9.94A.695,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(f)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(g) If </w:t>
      </w:r>
      <w:r>
        <w:t>((</w:t>
      </w:r>
      <w:r>
        <w:rPr>
          <w:strike/>
        </w:rPr>
        <w:t xml:space="preserve">a sex offender</w:t>
      </w:r>
      <w:r>
        <w:t>))</w:t>
      </w:r>
      <w:r>
        <w:rPr/>
        <w:t xml:space="preserve"> </w:t>
      </w:r>
      <w:r>
        <w:rPr>
          <w:u w:val="single"/>
        </w:rPr>
        <w:t xml:space="preserve">an individual convicted of a sex 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(h) If the individual was granted conditional commutation pursuant to RCW 9.94A.885,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2023 c 358 s 1 are each amended to read as follows:</w:t>
      </w:r>
    </w:p>
    <w:p>
      <w:pPr>
        <w:spacing w:before="0" w:after="0" w:line="408" w:lineRule="exact"/>
        <w:ind w:left="0" w:right="0" w:firstLine="576"/>
        <w:jc w:val="left"/>
      </w:pPr>
      <w:r>
        <w:rPr/>
        <w:t xml:space="preserve">(1) No incarcerated individual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incarcerated individual may earn early release time as authorized by RCW 9.94A.729;</w:t>
      </w:r>
    </w:p>
    <w:p>
      <w:pPr>
        <w:spacing w:before="0" w:after="0" w:line="408" w:lineRule="exact"/>
        <w:ind w:left="0" w:right="0" w:firstLine="576"/>
        <w:jc w:val="left"/>
      </w:pPr>
      <w:r>
        <w:rPr/>
        <w:t xml:space="preserve">(b) An incarcerated individual may leave a correctional facility pursuant to an authorized furlough or leave of absence. In addition, incarcerated individuals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incarcerated individual when all of the following conditions exist:</w:t>
      </w:r>
    </w:p>
    <w:p>
      <w:pPr>
        <w:spacing w:before="0" w:after="0" w:line="408" w:lineRule="exact"/>
        <w:ind w:left="0" w:right="0" w:firstLine="576"/>
        <w:jc w:val="left"/>
      </w:pPr>
      <w:r>
        <w:rPr/>
        <w:t xml:space="preserve">(A) The incarcerated individual has been assessed by two physicians and is determined to be one of the following:</w:t>
      </w:r>
    </w:p>
    <w:p>
      <w:pPr>
        <w:spacing w:before="0" w:after="0" w:line="408" w:lineRule="exact"/>
        <w:ind w:left="0" w:right="0" w:firstLine="576"/>
        <w:jc w:val="left"/>
      </w:pPr>
      <w:r>
        <w:rPr/>
        <w:t xml:space="preserve">(I) Affected by a permanent or degenerative medical condition to such a degree that the individual does not presently, and likely will not in the future, pose a threat to public safety; or</w:t>
      </w:r>
    </w:p>
    <w:p>
      <w:pPr>
        <w:spacing w:before="0" w:after="0" w:line="408" w:lineRule="exact"/>
        <w:ind w:left="0" w:right="0" w:firstLine="576"/>
        <w:jc w:val="left"/>
      </w:pPr>
      <w:r>
        <w:rPr/>
        <w:t xml:space="preserve">(II) In ill health and is expected to die within six months and does not presently, and likely will not in the future, pose a threat to public safety;</w:t>
      </w:r>
    </w:p>
    <w:p>
      <w:pPr>
        <w:spacing w:before="0" w:after="0" w:line="408" w:lineRule="exact"/>
        <w:ind w:left="0" w:right="0" w:firstLine="576"/>
        <w:jc w:val="left"/>
      </w:pPr>
      <w:r>
        <w:rPr/>
        <w:t xml:space="preserve">(B) The incarcerated individual has been assessed as low risk to the community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incarcerated individual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individuals in extraordinary medical placement unless the electronic monitoring equipment is detrimental to the individual's health, interferes with the function of the individual's medical equipment, or results in the loss of funding for the individual's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w:t>
      </w:r>
      <w:r>
        <w:t>((</w:t>
      </w:r>
      <w:r>
        <w:rPr>
          <w:strike/>
        </w:rPr>
        <w:t xml:space="preserve">for</w:t>
      </w:r>
      <w:r>
        <w:t>))</w:t>
      </w:r>
      <w:r>
        <w:rPr>
          <w:u w:val="single"/>
        </w:rPr>
        <w:t xml:space="preserve">:</w:t>
      </w:r>
    </w:p>
    <w:p>
      <w:pPr>
        <w:spacing w:before="0" w:after="0" w:line="408" w:lineRule="exact"/>
        <w:ind w:left="0" w:right="0" w:firstLine="576"/>
        <w:jc w:val="left"/>
      </w:pPr>
      <w:r>
        <w:rPr>
          <w:u w:val="single"/>
        </w:rPr>
        <w:t xml:space="preserve">(i) For</w:t>
      </w:r>
      <w:r>
        <w:rPr/>
        <w:t xml:space="preserve">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Pursuant to section 7 of this act;</w:t>
      </w:r>
    </w:p>
    <w:p>
      <w:pPr>
        <w:spacing w:before="0" w:after="0" w:line="408" w:lineRule="exact"/>
        <w:ind w:left="0" w:right="0" w:firstLine="576"/>
        <w:jc w:val="left"/>
      </w:pPr>
      <w:r>
        <w:rPr/>
        <w:t xml:space="preserve">(e) No more than the final 12 months of the incarcerated individual's term of confinement may be served in partial confinement for aiding the incarcerated individual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incarcerated individual's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incarcerated individuals under RCW 9.94A.733(1)(b), after serving at least four months in total confinement in a state correctional facility, an incarcerated individual may serve no more than the final 18 months of the incarcerated individual's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incarcerated individual;</w:t>
      </w:r>
    </w:p>
    <w:p>
      <w:pPr>
        <w:spacing w:before="0" w:after="0" w:line="408" w:lineRule="exact"/>
        <w:ind w:left="0" w:right="0" w:firstLine="576"/>
        <w:jc w:val="left"/>
      </w:pPr>
      <w:r>
        <w:rPr/>
        <w:t xml:space="preserve">(h) The department may release an incarcerated individual from confinement any time within 10 days before a release date calculated under this section;</w:t>
      </w:r>
    </w:p>
    <w:p>
      <w:pPr>
        <w:spacing w:before="0" w:after="0" w:line="408" w:lineRule="exact"/>
        <w:ind w:left="0" w:right="0" w:firstLine="576"/>
        <w:jc w:val="left"/>
      </w:pPr>
      <w:r>
        <w:rPr/>
        <w:t xml:space="preserve">(i) An incarcerated individual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incarcerated individual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individual convicted of one or more crimes committed prior to the individual's 18th birthday may be released from confinement pursuant to RCW 9.94A.730.</w:t>
      </w:r>
    </w:p>
    <w:p>
      <w:pPr>
        <w:spacing w:before="0" w:after="0" w:line="408" w:lineRule="exact"/>
        <w:ind w:left="0" w:right="0" w:firstLine="576"/>
        <w:jc w:val="left"/>
      </w:pPr>
      <w:r>
        <w:rPr/>
        <w:t xml:space="preserve">(2) Notwithstanding any other provision of this section, an incarcerated individual entitled to vacation of a conviction or the recalculation of his or her offender score pursuant to </w:t>
      </w:r>
      <w:r>
        <w:rPr>
          <w:i/>
        </w:rPr>
        <w:t xml:space="preserve">State v. Blake</w:t>
      </w:r>
      <w:r>
        <w:rPr/>
        <w:t xml:space="preserve">, No. 96873-0 (Feb. 25, 2021), may be released from confinement pursuant to a court order if the incarcerated individual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Individuals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In making appointments to the board, the governor shall strive to ensure racial, ethnic, geographic, gender, sexual identity, and age diversity. The board membership must consist of the following:</w:t>
      </w:r>
    </w:p>
    <w:p>
      <w:pPr>
        <w:spacing w:before="0" w:after="0" w:line="408" w:lineRule="exact"/>
        <w:ind w:left="0" w:right="0" w:firstLine="576"/>
        <w:jc w:val="left"/>
      </w:pPr>
      <w:r>
        <w:rPr>
          <w:u w:val="single"/>
        </w:rPr>
        <w:t xml:space="preserve">(a) A person with lived experience in a community of color;</w:t>
      </w:r>
    </w:p>
    <w:p>
      <w:pPr>
        <w:spacing w:before="0" w:after="0" w:line="408" w:lineRule="exact"/>
        <w:ind w:left="0" w:right="0" w:firstLine="576"/>
        <w:jc w:val="left"/>
      </w:pPr>
      <w:r>
        <w:rPr>
          <w:u w:val="single"/>
        </w:rPr>
        <w:t xml:space="preserve">(b) A person with lived experience as an incarcerated individual or who has worked with the formerly incarcerated or successful community reentry;</w:t>
      </w:r>
    </w:p>
    <w:p>
      <w:pPr>
        <w:spacing w:before="0" w:after="0" w:line="408" w:lineRule="exact"/>
        <w:ind w:left="0" w:right="0" w:firstLine="576"/>
        <w:jc w:val="left"/>
      </w:pPr>
      <w:r>
        <w:rPr>
          <w:u w:val="single"/>
        </w:rPr>
        <w:t xml:space="preserve">(c) A representative of a faith-based organization or church with interest or experience in successful community reentry;</w:t>
      </w:r>
    </w:p>
    <w:p>
      <w:pPr>
        <w:spacing w:before="0" w:after="0" w:line="408" w:lineRule="exact"/>
        <w:ind w:left="0" w:right="0" w:firstLine="576"/>
        <w:jc w:val="left"/>
      </w:pPr>
      <w:r>
        <w:rPr>
          <w:u w:val="single"/>
        </w:rPr>
        <w:t xml:space="preserve">(d) A person with experience and interest in tribal affairs;</w:t>
      </w:r>
    </w:p>
    <w:p>
      <w:pPr>
        <w:spacing w:before="0" w:after="0" w:line="408" w:lineRule="exact"/>
        <w:ind w:left="0" w:right="0" w:firstLine="576"/>
        <w:jc w:val="left"/>
      </w:pPr>
      <w:r>
        <w:rPr>
          <w:u w:val="single"/>
        </w:rPr>
        <w:t xml:space="preserve">(e) A retired superior court judge; and</w:t>
      </w:r>
    </w:p>
    <w:p>
      <w:pPr>
        <w:spacing w:before="0" w:after="0" w:line="408" w:lineRule="exact"/>
        <w:ind w:left="0" w:right="0" w:firstLine="576"/>
        <w:jc w:val="left"/>
      </w:pPr>
      <w:r>
        <w:rPr>
          <w:u w:val="single"/>
        </w:rPr>
        <w:t xml:space="preserve">(f) A representative of an agency representing crime victims.</w:t>
      </w:r>
    </w:p>
    <w:p>
      <w:pPr>
        <w:spacing w:before="0" w:after="0" w:line="408" w:lineRule="exact"/>
        <w:ind w:left="0" w:right="0" w:firstLine="576"/>
        <w:jc w:val="left"/>
      </w:pPr>
      <w:r>
        <w:rPr>
          <w:u w:val="single"/>
        </w:rPr>
        <w:t xml:space="preserve">(3) Board members must attend training including the principles of racial equity, racism and mass incarceration, or restorative justice on at least an annual basis.</w:t>
      </w:r>
    </w:p>
    <w:p>
      <w:pPr>
        <w:spacing w:before="0" w:after="0" w:line="408" w:lineRule="exact"/>
        <w:ind w:left="0" w:right="0" w:firstLine="576"/>
        <w:jc w:val="left"/>
      </w:pPr>
      <w:r>
        <w:rPr>
          <w:u w:val="single"/>
        </w:rPr>
        <w:t xml:space="preserve">(4)</w:t>
      </w:r>
      <w:r>
        <w:rPr/>
        <w:t xml:space="preserve"> Members of the board </w:t>
      </w:r>
      <w:r>
        <w:t>((</w:t>
      </w:r>
      <w:r>
        <w:rPr>
          <w:strike/>
        </w:rPr>
        <w:t xml:space="preserve">shall</w:t>
      </w:r>
      <w:r>
        <w:t>))</w:t>
      </w:r>
      <w:r>
        <w:rPr/>
        <w:t xml:space="preserve"> </w:t>
      </w:r>
      <w:r>
        <w:rPr>
          <w:u w:val="single"/>
        </w:rPr>
        <w:t xml:space="preserve">may</w:t>
      </w:r>
      <w:r>
        <w:rPr/>
        <w:t xml:space="preserve"> serve </w:t>
      </w:r>
      <w:r>
        <w:rPr>
          <w:u w:val="single"/>
        </w:rPr>
        <w:t xml:space="preserve">up to two</w:t>
      </w:r>
      <w:r>
        <w:rPr/>
        <w:t xml:space="pre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t xml:space="preserve"> </w:t>
      </w:r>
      <w:r>
        <w:rPr>
          <w:u w:val="single"/>
        </w:rPr>
        <w:t xml:space="preserve">and may continue to serve</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 Board members as of the effective date of this section may serve the member's remaining term</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r>
        <w:rPr>
          <w:u w:val="single"/>
        </w:rPr>
        <w:t xml:space="preserve">. The chair shall approve training and each member's hearing preparation time as duties authorized for compensation under subsection (6) of this 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receive compensation in accordance with the provisions of RCW 43.03.250,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personnel to implement and maintain functional operations such as support, records management and disclosure,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0" w:after="0" w:line="408" w:lineRule="exact"/>
        <w:ind w:left="0" w:right="0" w:firstLine="576"/>
        <w:jc w:val="left"/>
      </w:pPr>
      <w:r>
        <w:rPr>
          <w:u w:val="single"/>
        </w:rPr>
        <w:t xml:space="preserve">(9) Each petition for commutation or pardon shall be reviewed by a panel of five board members. The panel membership shall be selected by a random drawing conducted by board staff.</w:t>
      </w:r>
    </w:p>
    <w:p>
      <w:pPr>
        <w:spacing w:before="0" w:after="0" w:line="408" w:lineRule="exact"/>
        <w:ind w:left="0" w:right="0" w:firstLine="576"/>
        <w:jc w:val="left"/>
      </w:pPr>
      <w:r>
        <w:rPr>
          <w:u w:val="single"/>
        </w:rPr>
        <w:t xml:space="preserve">(10) For purposes of this section, "lived experience" has the meaning provided in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w:t>
      </w:r>
      <w:r>
        <w:rPr>
          <w:u w:val="single"/>
        </w:rPr>
        <w:t xml:space="preserve">of incarcerated individuals when the sentence no longer serves the interest of justice;</w:t>
      </w:r>
      <w:r>
        <w:rPr/>
        <w:t xml:space="preserve"> and </w:t>
      </w:r>
      <w:r>
        <w:t>((</w:t>
      </w:r>
      <w:r>
        <w:rPr>
          <w:strike/>
        </w:rPr>
        <w:t xml:space="preserve">pardoning</w:t>
      </w:r>
      <w:r>
        <w:t>))</w:t>
      </w:r>
    </w:p>
    <w:p>
      <w:pPr>
        <w:spacing w:before="0" w:after="0" w:line="408" w:lineRule="exact"/>
        <w:ind w:left="0" w:right="0" w:firstLine="576"/>
        <w:jc w:val="left"/>
      </w:pPr>
      <w:r>
        <w:rPr>
          <w:u w:val="single"/>
        </w:rPr>
        <w:t xml:space="preserve">(b) Pardoning</w:t>
      </w:r>
      <w:r>
        <w:rPr/>
        <w:t xml:space="preserve"> of </w:t>
      </w:r>
      <w:r>
        <w:t>((</w:t>
      </w:r>
      <w:r>
        <w:rPr>
          <w:strike/>
        </w:rPr>
        <w:t xml:space="preserve">offenders</w:t>
      </w:r>
      <w:r>
        <w:t>))</w:t>
      </w:r>
      <w:r>
        <w:rPr/>
        <w:t xml:space="preserve"> </w:t>
      </w:r>
      <w:r>
        <w:rPr>
          <w:u w:val="single"/>
        </w:rPr>
        <w:t xml:space="preserve">incarcerated individuals</w:t>
      </w:r>
      <w:r>
        <w:rPr/>
        <w:t xml:space="preserve"> in extraordinary cases</w:t>
      </w:r>
      <w:r>
        <w:t>((</w:t>
      </w:r>
      <w:r>
        <w:rPr>
          <w:strike/>
        </w:rPr>
        <w:t xml:space="preserve">, and shall make recommendations thereon to the governor</w:t>
      </w:r>
      <w:r>
        <w: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under subsection (1) of this section until a public hearing has been held on the petition. </w:t>
      </w:r>
      <w:r>
        <w:rPr>
          <w:u w:val="single"/>
        </w:rPr>
        <w:t xml:space="preserve">The board shall consider available statements of victims and survivors of victims,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r>
        <w:rPr/>
        <w:t xml:space="preserve"> </w:t>
      </w:r>
      <w:r>
        <w:rPr>
          <w:u w:val="single"/>
        </w:rPr>
        <w:t xml:space="preserve">The prosecuting attorney shall make reasonable efforts to notify victims, survivors of victims, witnesses, and the law enforcement agency or agencies that conducted the investigation, of the date and place of the hearing.</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incarcerated individual seeking clemency or commutation</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(d) The board shall provide written notification to any victims, survivors of victims, or witnesses who participate in the hearing or provide written testimony about the department of correction's victim notification program and the victim information and notification everyday service administered by the Washington association of sheriffs and police chiefs.</w:t>
      </w:r>
    </w:p>
    <w:p>
      <w:pPr>
        <w:spacing w:before="0" w:after="0" w:line="408" w:lineRule="exact"/>
        <w:ind w:left="0" w:right="0" w:firstLine="576"/>
        <w:jc w:val="left"/>
      </w:pPr>
      <w:r>
        <w:rPr>
          <w:u w:val="single"/>
        </w:rPr>
        <w:t xml:space="preserve">(5)(a) The board may recommend conditions of commutation for any incarcerated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governor. Any violation of conditions of community custody is subject to the provisions of this chapter.</w:t>
      </w:r>
    </w:p>
    <w:p>
      <w:pPr>
        <w:spacing w:before="0" w:after="0" w:line="408" w:lineRule="exact"/>
        <w:ind w:left="0" w:right="0" w:firstLine="576"/>
        <w:jc w:val="left"/>
      </w:pPr>
      <w:r>
        <w:rPr>
          <w:u w:val="single"/>
        </w:rPr>
        <w:t xml:space="preserve">(6)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board may take any of the following actions: Deny a petition without a hearing because the incarcerated individual does not meet the initial criteria for filing a petition; or conduct a hearing in accordance with RCW 9.94A.885 to consider additional information, and then deny the petition or recommend commutation to the governor.</w:t>
      </w:r>
    </w:p>
    <w:p>
      <w:pPr>
        <w:spacing w:before="0" w:after="0" w:line="408" w:lineRule="exact"/>
        <w:ind w:left="0" w:right="0" w:firstLine="576"/>
        <w:jc w:val="left"/>
      </w:pPr>
      <w:r>
        <w:rPr/>
        <w:t xml:space="preserve">(2)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incarcerated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incarcerated individual's social and medical history;</w:t>
      </w:r>
    </w:p>
    <w:p>
      <w:pPr>
        <w:spacing w:before="0" w:after="0" w:line="408" w:lineRule="exact"/>
        <w:ind w:left="0" w:right="0" w:firstLine="576"/>
        <w:jc w:val="left"/>
      </w:pPr>
      <w:r>
        <w:rPr/>
        <w:t xml:space="preserve">(e) The incarcerated individual's acceptance of responsibility, remorse, and atonement. If the individual submitted an Alford plea, the impact that may have on an individual's ability to provide evidence of remorse, atonement, and self-reflection in relation to the offense committed;</w:t>
      </w:r>
    </w:p>
    <w:p>
      <w:pPr>
        <w:spacing w:before="0" w:after="0" w:line="408" w:lineRule="exact"/>
        <w:ind w:left="0" w:right="0" w:firstLine="576"/>
        <w:jc w:val="left"/>
      </w:pPr>
      <w:r>
        <w:rPr/>
        <w:t xml:space="preserve">(f) Evidence of the incarcerated individual's rehabilitation, including behavior while incarcerated, job history, education participation in available rehabilitative program and treatment, and serious infraction history;</w:t>
      </w:r>
    </w:p>
    <w:p>
      <w:pPr>
        <w:spacing w:before="0" w:after="0" w:line="408" w:lineRule="exact"/>
        <w:ind w:left="0" w:right="0" w:firstLine="576"/>
        <w:jc w:val="left"/>
      </w:pPr>
      <w:r>
        <w:rPr/>
        <w:t xml:space="preserve">(g) Input from the victims of the crime;</w:t>
      </w:r>
    </w:p>
    <w:p>
      <w:pPr>
        <w:spacing w:before="0" w:after="0" w:line="408" w:lineRule="exact"/>
        <w:ind w:left="0" w:right="0" w:firstLine="576"/>
        <w:jc w:val="left"/>
      </w:pPr>
      <w:r>
        <w:rPr/>
        <w:t xml:space="preserve">(h) Input from the police and prosecutors in the jurisdictions where the incarcerated individual's crimes were committed;</w:t>
      </w:r>
    </w:p>
    <w:p>
      <w:pPr>
        <w:spacing w:before="0" w:after="0" w:line="408" w:lineRule="exact"/>
        <w:ind w:left="0" w:right="0" w:firstLine="576"/>
        <w:jc w:val="left"/>
      </w:pPr>
      <w:r>
        <w:rPr/>
        <w:t xml:space="preserve">(i) Input from persons in the community pledging their support of the incarcerated individual, if released;</w:t>
      </w:r>
    </w:p>
    <w:p>
      <w:pPr>
        <w:spacing w:before="0" w:after="0" w:line="408" w:lineRule="exact"/>
        <w:ind w:left="0" w:right="0" w:firstLine="576"/>
        <w:jc w:val="left"/>
      </w:pPr>
      <w:r>
        <w:rPr/>
        <w:t xml:space="preserve">(j) The available resources in the community to help the incarcerated individual transition to life outside of prison;</w:t>
      </w:r>
    </w:p>
    <w:p>
      <w:pPr>
        <w:spacing w:before="0" w:after="0" w:line="408" w:lineRule="exact"/>
        <w:ind w:left="0" w:right="0" w:firstLine="576"/>
        <w:jc w:val="left"/>
      </w:pPr>
      <w:r>
        <w:rPr/>
        <w:t xml:space="preserve">(k) A risk assessment and psychological evaluation provided by the department;</w:t>
      </w:r>
    </w:p>
    <w:p>
      <w:pPr>
        <w:spacing w:before="0" w:after="0" w:line="408" w:lineRule="exact"/>
        <w:ind w:left="0" w:right="0" w:firstLine="576"/>
        <w:jc w:val="left"/>
      </w:pPr>
      <w:r>
        <w:rPr/>
        <w:t xml:space="preserve">(l) The sentencing judge's analysis in imposing an exceptional sentence, if any; </w:t>
      </w:r>
    </w:p>
    <w:p>
      <w:pPr>
        <w:spacing w:before="0" w:after="0" w:line="408" w:lineRule="exact"/>
        <w:ind w:left="0" w:right="0" w:firstLine="576"/>
        <w:jc w:val="left"/>
      </w:pPr>
      <w:r>
        <w:rPr/>
        <w:t xml:space="preserve">(m) Statements of correctional staff, program supervisors, and volunteer facilitators regarding the incarcerated individual. Such statements shall be voluntary and withheld as confidential. The board shall not publicly identify the names, content, or statement in the hearing or its written decision; and</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(3) Further, the board shall consider a release plan presented by the incarcerated individual showing where the incarcerated individual will reside and how he or she will support himself or herself during the first year after his or her release. The department shall independently review the proposed release plan and make an independent evaluation to ensure the incarcerated individual is not released to an area where the victim resides or that impacts community safety.</w:t>
      </w:r>
    </w:p>
    <w:p>
      <w:pPr>
        <w:spacing w:before="0" w:after="0" w:line="408" w:lineRule="exact"/>
        <w:ind w:left="0" w:right="0" w:firstLine="576"/>
        <w:jc w:val="left"/>
      </w:pPr>
      <w:r>
        <w:rPr/>
        <w:t xml:space="preserve">(4) If the board recommends commutation or denies the petition, it shall specify the reasons for the decision.</w:t>
      </w:r>
    </w:p>
    <w:p>
      <w:pPr>
        <w:spacing w:before="0" w:after="0" w:line="408" w:lineRule="exact"/>
        <w:ind w:left="0" w:right="0" w:firstLine="576"/>
        <w:jc w:val="left"/>
      </w:pPr>
      <w:r>
        <w:rPr/>
        <w:t xml:space="preserve">(5) The conditions for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(6) An incarcerated individual whose petition for commutation is denied may file a new petition for commutation three years from the date of denial or at an earlier date as may be set by the board.</w:t>
      </w:r>
    </w:p>
    <w:p>
      <w:pPr>
        <w:spacing w:before="0" w:after="0" w:line="408" w:lineRule="exact"/>
        <w:ind w:left="0" w:right="0" w:firstLine="576"/>
        <w:jc w:val="left"/>
      </w:pPr>
      <w:r>
        <w:rPr/>
        <w:t xml:space="preserve">(7) The incarcerated individual does not have a right to appointed counsel. Both lawyers and nonlawyers may assist the incarcerated individual in the preparation of his or her petition and at the hearing.</w:t>
      </w:r>
    </w:p>
    <w:p>
      <w:pPr>
        <w:spacing w:before="0" w:after="0" w:line="408" w:lineRule="exact"/>
        <w:ind w:left="0" w:right="0" w:firstLine="576"/>
        <w:jc w:val="left"/>
      </w:pPr>
      <w:r>
        <w:rPr/>
        <w:t xml:space="preserve">(8) All information contained in a petition or that is submitted to the board is subject to public disclosure.</w:t>
      </w:r>
    </w:p>
    <w:p>
      <w:pPr>
        <w:spacing w:before="0" w:after="0" w:line="408" w:lineRule="exact"/>
        <w:ind w:left="0" w:right="0" w:firstLine="576"/>
        <w:jc w:val="left"/>
      </w:pPr>
      <w:r>
        <w:rPr/>
        <w:t xml:space="preserve">(9)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(10) For purposes of this section, "board" means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The clemency and pardons board shall transmit to the governor and the legislature, at least annually, a report of its work, in which shall be given such information as may be relevant. The information must include the names of any offenders granted clemency or pardons in the previous calendar year, the crimes of which those offenders were convicted, and any known acts of recidivism during the preceding calendar year by any offender listed in any report submitted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78da66ede94e44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461a5c7bc468a" /><Relationship Type="http://schemas.openxmlformats.org/officeDocument/2006/relationships/footer" Target="/word/footer1.xml" Id="R78da66ede94e4434" /></Relationships>
</file>