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5a2c08ab6b47cb" /></Relationships>
</file>

<file path=word/document.xml><?xml version="1.0" encoding="utf-8"?>
<w:document xmlns:w="http://schemas.openxmlformats.org/wordprocessingml/2006/main">
  <w:body>
    <w:p>
      <w:r>
        <w:t>H-2833.1</w:t>
      </w:r>
    </w:p>
    <w:p>
      <w:pPr>
        <w:jc w:val="center"/>
      </w:pPr>
      <w:r>
        <w:t>_______________________________________________</w:t>
      </w:r>
    </w:p>
    <w:p/>
    <w:p>
      <w:pPr>
        <w:jc w:val="center"/>
      </w:pPr>
      <w:r>
        <w:rPr>
          <w:b/>
        </w:rPr>
        <w:t>HOUSE BILL 2488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Dye, Eslick, Christian, and Schmidt</w:t>
      </w:r>
    </w:p>
    <w:p/>
    <w:p>
      <w:r>
        <w:rPr>
          <w:t xml:space="preserve">Read first time 01/31/24.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free exercise of religion from executive overreach during gubernatorial proclamations; and amending RCW 43.06.220.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w:t>
      </w:r>
      <w:r>
        <w:rPr>
          <w:u w:val="single"/>
        </w:rPr>
        <w:t xml:space="preserve">(a) No order issued under this section may require the closure of, or interfere with the regular operation of, a religious institution, unless the order is the least restrictive means of furthering a compelling government interest.</w:t>
      </w:r>
    </w:p>
    <w:p>
      <w:pPr>
        <w:spacing w:before="0" w:after="0" w:line="408" w:lineRule="exact"/>
        <w:ind w:left="0" w:right="0" w:firstLine="576"/>
        <w:jc w:val="left"/>
      </w:pPr>
      <w:r>
        <w:rPr>
          <w:u w:val="single"/>
        </w:rPr>
        <w:t xml:space="preserve">(b) For purposes of this section, "religious institution" includes churches, mosques, synagogues, temples, nondenominational ministries, interdenominational and ecumenical organizations, mission organizations, and other entities whose principal purpose is the study or practice of religion.</w:t>
      </w:r>
    </w:p>
    <w:p>
      <w:pPr>
        <w:spacing w:before="0" w:after="0" w:line="408" w:lineRule="exact"/>
        <w:ind w:left="0" w:right="0" w:firstLine="576"/>
        <w:jc w:val="left"/>
      </w:pPr>
      <w:r>
        <w:rPr>
          <w:u w:val="single"/>
        </w:rPr>
        <w:t xml:space="preserve">(5)</w:t>
      </w:r>
      <w:r>
        <w:rPr/>
        <w:t xml:space="preserve">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3a54a3c117d241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711d3bd77b4a34" /><Relationship Type="http://schemas.openxmlformats.org/officeDocument/2006/relationships/footer" Target="/word/footer1.xml" Id="R3a54a3c117d241ab" /></Relationships>
</file>