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c2dbb114b94b58" /></Relationships>
</file>

<file path=word/document.xml><?xml version="1.0" encoding="utf-8"?>
<w:document xmlns:w="http://schemas.openxmlformats.org/wordprocessingml/2006/main">
  <w:body>
    <w:p>
      <w:r>
        <w:t>H-3197.2</w:t>
      </w:r>
    </w:p>
    <w:p>
      <w:pPr>
        <w:jc w:val="center"/>
      </w:pPr>
      <w:r>
        <w:t>_______________________________________________</w:t>
      </w:r>
    </w:p>
    <w:p/>
    <w:p>
      <w:pPr>
        <w:jc w:val="center"/>
      </w:pPr>
      <w:r>
        <w:rPr>
          <w:b/>
        </w:rPr>
        <w:t>HOUSE BILL 2498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Barkis, Hutchins, Chapman, Stokesbary, Corry, Caldier, Low, Robertson, Goehner, Dent, Schmidt, Klicker, Walsh, Griffey, Harris, Couture, Waters, Connors, Cheney, Volz, Wilcox, Chambers, McEntire, Ybarra, Maycumber, and Steele</w:t>
      </w:r>
    </w:p>
    <w:p/>
    <w:p>
      <w:r>
        <w:rPr>
          <w:t xml:space="preserve">Read first time 02/12/24.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declaring the ferry system to be in a state of emergency to authorize expedient actions; amending RCW 47.56.030, 47.60.010, 47.60.810, 47.60.315, and 47.60.826; adding a new section to chapter 47.60 RCW; creating a new section; repealing RCW 47.60.838;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failure to address the ferry system's ongoing challenges has resulted in continued deterioration of service, increased frustration among riders, and heightened uncertainty for communities that rely on ferry transportation. Immediate, decisive action must be taken to fix Washington's ferry system.</w:t>
      </w:r>
    </w:p>
    <w:p>
      <w:pPr>
        <w:spacing w:before="0" w:after="0" w:line="408" w:lineRule="exact"/>
        <w:ind w:left="0" w:right="0" w:firstLine="576"/>
        <w:jc w:val="left"/>
      </w:pPr>
      <w:r>
        <w:rPr/>
        <w:t xml:space="preserve">(2) Despite broad agreement that replacement vessels are needed, the vision of transitioning the ferry fleet to hybrid electric vessels has resulted in sluggish procurement, skyrocketing costs, and delayed delivery. As a result, riders have suffered the consequences of reduced and unreliable service.</w:t>
      </w:r>
    </w:p>
    <w:p>
      <w:pPr>
        <w:spacing w:before="0" w:after="0" w:line="408" w:lineRule="exact"/>
        <w:ind w:left="0" w:right="0" w:firstLine="576"/>
        <w:jc w:val="left"/>
      </w:pPr>
      <w:r>
        <w:rPr/>
        <w:t xml:space="preserve">(3) The current state of Washington's ferry system, with aging vessels struggling to serve 10 routes, represents a critical challenge, while the pursuit of hybrid electric ferries at exorbitant costs represents an irresponsible gamble, especially with proposed costs doubling since 2019.</w:t>
      </w:r>
    </w:p>
    <w:p>
      <w:pPr>
        <w:spacing w:before="0" w:after="0" w:line="408" w:lineRule="exact"/>
        <w:ind w:left="0" w:right="0" w:firstLine="576"/>
        <w:jc w:val="left"/>
      </w:pPr>
      <w:r>
        <w:rPr/>
        <w:t xml:space="preserve">(4) The goal of putting environmentally responsible ferries in the water is a worthwhile objective, but the feasibility and cost-effectiveness of such objectives must be carefully evaluated to ensure they align with the urgent and immediate need for reliable, accessible ferry service for all Washingtonians.</w:t>
      </w:r>
    </w:p>
    <w:p>
      <w:pPr>
        <w:spacing w:before="0" w:after="0" w:line="408" w:lineRule="exact"/>
        <w:ind w:left="0" w:right="0" w:firstLine="576"/>
        <w:jc w:val="left"/>
      </w:pPr>
      <w:r>
        <w:rPr/>
        <w:t xml:space="preserve">(5) The legislature urges the governor to prioritize proven solutions, building ferries within existing plans, allocated budgets, and without demanding extensive infrastructure upgrades or employee retraining. Washingtonians cannot wait 10 years for another new ferry to set sail. We must fix the ferry system now.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legislature requests the governor to declare an emergency with regard to ferry procurement and exercise the gubernatorial powers authorized under chapters 38.52 and 43.06 RCW to take all the necessary actions to expedite permitting and conduct an emergency procurement to acquire at least two nonhybrid electric ferries with the first one to be delivered within two years.</w:t>
      </w:r>
    </w:p>
    <w:p>
      <w:pPr>
        <w:spacing w:before="0" w:after="0" w:line="408" w:lineRule="exact"/>
        <w:ind w:left="0" w:right="0" w:firstLine="576"/>
        <w:jc w:val="left"/>
      </w:pPr>
      <w:r>
        <w:rPr/>
        <w:t xml:space="preserve">(2) The procurement must use the existing design for the diesel-powered Olympic class vessels, to eliminate the need for additional design work and realize the benefits of a fleet of interchangeable vessels. The procurement shall also include a preference that all warranty work on the vessels be performed within the boundaries of the state of Washington, insofar as practicable.</w:t>
      </w:r>
    </w:p>
    <w:p>
      <w:pPr>
        <w:spacing w:before="0" w:after="0" w:line="408" w:lineRule="exact"/>
        <w:ind w:left="0" w:right="0" w:firstLine="576"/>
        <w:jc w:val="left"/>
      </w:pPr>
      <w:r>
        <w:rPr/>
        <w:t xml:space="preserve">(3) The department is directed to immediately take all the necessary actions to expedite permitting and conduct an emergency procurement to acquire nonhybrid electric vessels for expedited delivery.</w:t>
      </w:r>
    </w:p>
    <w:p>
      <w:pPr>
        <w:spacing w:before="0" w:after="0" w:line="408" w:lineRule="exact"/>
        <w:ind w:left="0" w:right="0" w:firstLine="576"/>
        <w:jc w:val="left"/>
      </w:pPr>
      <w:r>
        <w:rPr/>
        <w:t xml:space="preserve">(4) The department may postpone the conversion of the second and third jumbo mark II vessels to hybrid electric vessels until the first conversion is complete and has been proven to be effective so as not to exacerbate service problems.</w:t>
      </w:r>
    </w:p>
    <w:p>
      <w:pPr>
        <w:spacing w:before="0" w:after="0" w:line="408" w:lineRule="exact"/>
        <w:ind w:left="0" w:right="0" w:firstLine="576"/>
        <w:jc w:val="left"/>
      </w:pPr>
      <w:r>
        <w:rPr/>
        <w:t xml:space="preserve">(5) The provisions in this section will supercede and replace the requirements in RCW 47.60.826 and any executive order that conflicts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2023 c 429 s 6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w:t>
      </w:r>
      <w:r>
        <w:t>((</w:t>
      </w:r>
      <w:r>
        <w:rPr>
          <w:strike/>
        </w:rPr>
        <w:t xml:space="preserve">such</w:t>
      </w:r>
      <w:r>
        <w:t>))</w:t>
      </w:r>
      <w:r>
        <w:rPr/>
        <w:t xml:space="preserve"> toll bridges and other facilities </w:t>
      </w:r>
      <w:r>
        <w:rPr>
          <w:u w:val="single"/>
        </w:rPr>
        <w:t xml:space="preserve">including Washington state ferries</w:t>
      </w:r>
      <w:r>
        <w:rPr/>
        <w:t xml:space="preserve">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w:t>
      </w:r>
      <w:r>
        <w:t>((</w:t>
      </w:r>
      <w:r>
        <w:rPr>
          <w:strike/>
        </w:rPr>
        <w:t xml:space="preserve">and</w:t>
      </w:r>
      <w:r>
        <w:t>))</w:t>
      </w:r>
      <w:r>
        <w:rPr>
          <w:u w:val="single"/>
        </w:rPr>
        <w:t xml:space="preserve">,</w:t>
      </w:r>
      <w:r>
        <w:rPr/>
        <w:t xml:space="preserve"> (ii)</w:t>
      </w:r>
      <w:r>
        <w:rPr>
          <w:u w:val="single"/>
        </w:rPr>
        <w:t xml:space="preserve">, and (iii)</w:t>
      </w:r>
      <w:r>
        <w:rPr/>
        <w:t xml:space="preserve">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w:t>
      </w:r>
      <w:r>
        <w:t>((</w:t>
      </w:r>
      <w:r>
        <w:rPr>
          <w:strike/>
        </w:rPr>
        <w:t xml:space="preserve">and</w:t>
      </w:r>
      <w:r>
        <w:t>))</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r>
        <w:rPr>
          <w:u w:val="single"/>
        </w:rPr>
        <w:t xml:space="preserve">; and</w:t>
      </w:r>
    </w:p>
    <w:p>
      <w:pPr>
        <w:spacing w:before="0" w:after="0" w:line="408" w:lineRule="exact"/>
        <w:ind w:left="0" w:right="0" w:firstLine="576"/>
        <w:jc w:val="left"/>
      </w:pPr>
      <w:r>
        <w:rPr>
          <w:u w:val="single"/>
        </w:rPr>
        <w:t xml:space="preserve">(iii) Emergency contracts, in order to construct new vessels in the case of an emergency declared by the governor under section 2 of this act</w:t>
      </w:r>
      <w:r>
        <w:rPr/>
        <w:t xml:space="preserve">.</w:t>
      </w:r>
    </w:p>
    <w:p>
      <w:pPr>
        <w:spacing w:before="0" w:after="0" w:line="408" w:lineRule="exact"/>
        <w:ind w:left="0" w:right="0" w:firstLine="576"/>
        <w:jc w:val="left"/>
      </w:pPr>
      <w:r>
        <w:rPr/>
        <w:t xml:space="preserve">(f) Any new vessel planning, construction, purchase, analysis, or design work must be consistent with RCW 47.60.810, except as otherwise provided in RCW 47.60.826 </w:t>
      </w:r>
      <w:r>
        <w:rPr>
          <w:u w:val="single"/>
        </w:rPr>
        <w:t xml:space="preserve">and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w:t>
      </w:r>
      <w:r>
        <w:rPr>
          <w:u w:val="single"/>
        </w:rPr>
        <w:t xml:space="preserve">,</w:t>
      </w:r>
      <w:r>
        <w:rPr/>
        <w:t xml:space="preserve"> but are not limited to</w:t>
      </w:r>
      <w:r>
        <w:rPr>
          <w:u w:val="single"/>
        </w:rPr>
        <w:t xml:space="preserve">,</w:t>
      </w:r>
      <w:r>
        <w:rPr/>
        <w:t xml:space="preserve">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2023 c 429 s 5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 except as otherwise provided in RCW 47.60.826 </w:t>
      </w:r>
      <w:r>
        <w:rPr>
          <w:u w:val="single"/>
        </w:rPr>
        <w:t xml:space="preserve">and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2023 c 429 s 3 are each amended to read as follows:</w:t>
      </w:r>
    </w:p>
    <w:p>
      <w:pPr>
        <w:spacing w:before="0" w:after="0" w:line="408" w:lineRule="exact"/>
        <w:ind w:left="0" w:right="0" w:firstLine="576"/>
        <w:jc w:val="left"/>
      </w:pPr>
      <w:r>
        <w:rPr/>
        <w:t xml:space="preserve">(1) Except as otherwise provided in RCW 47.60.826 </w:t>
      </w:r>
      <w:r>
        <w:rPr>
          <w:u w:val="single"/>
        </w:rPr>
        <w:t xml:space="preserve">and section 2 of this act</w:t>
      </w:r>
      <w:r>
        <w:rPr/>
        <w:t xml:space="preserve">, the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2023 c 472 s 714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 or except as provided in section 715, chapter 333, Laws of 2021 during the 2021-2023 biennium and section 716, chapter 472, Laws of 2023 during the 2023-2025 fiscal biennium.</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25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t xml:space="preserve">(8) Except as provided in subsection (10) of this section, beginning May 1, 2020, the commission shall impose an additional vessel replacement surcharge in an amount sufficient to fund 25 year debt service on one 144-auto hybrid vessel taking into account funds provided in chapter 417, Laws of 2019 or chapter . . . (SSB 5419), Laws of 2019 </w:t>
      </w:r>
      <w:r>
        <w:rPr>
          <w:u w:val="single"/>
        </w:rPr>
        <w:t xml:space="preserve">or vessels acquired pursuant to section 2 of this act</w:t>
      </w:r>
      <w:r>
        <w:rPr/>
        <w:t xml:space="preserve">. The department of transportation shall provide to the commission vessel and debt service cost estimates. Information on vessels constructed or purchased with revenue from the surcharges must be publicly posted including, but not limited to, the commission website.</w:t>
      </w:r>
    </w:p>
    <w:p>
      <w:pPr>
        <w:spacing w:before="0" w:after="0" w:line="408" w:lineRule="exact"/>
        <w:ind w:left="0" w:right="0" w:firstLine="576"/>
        <w:jc w:val="left"/>
      </w:pPr>
      <w:r>
        <w:rPr/>
        <w:t xml:space="preserve">(9) The vessel replacement surcharges imposed in this section may only be used for the construction or purchase of ferry vessels and to pay the principal and interest on bonds authorized for the construction or purchase of new ferry vessels.</w:t>
      </w:r>
    </w:p>
    <w:p>
      <w:pPr>
        <w:spacing w:before="0" w:after="0" w:line="408" w:lineRule="exact"/>
        <w:ind w:left="0" w:right="0" w:firstLine="576"/>
        <w:jc w:val="left"/>
      </w:pPr>
      <w:r>
        <w:rPr/>
        <w:t xml:space="preserve">(10) The commission shall not impose the additional vessel replacement surcharge in subsection (8) of this section if doing so would increase fares by more than 10 percent.</w:t>
      </w:r>
    </w:p>
    <w:p>
      <w:pPr>
        <w:spacing w:before="0" w:after="0" w:line="408" w:lineRule="exact"/>
        <w:ind w:left="0" w:right="0" w:firstLine="576"/>
        <w:jc w:val="left"/>
      </w:pPr>
      <w:r>
        <w:rPr/>
        <w:t xml:space="preserve">(11) For the 2023-2025 fiscal biennium, any ferry fuel surcharge imposed by the commission may not go into effect until after the ensuing regular legislative session. If a fuel surcharge is imposed as provided under this subsection, the commission must reevaluate the need for the surcharge on at least a quarterly basis to determine if the surcharge is still needed to cover increased fuel costs, and revoke the surcharge if the determination is that the surcharge is no longer needed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826</w:t>
      </w:r>
      <w:r>
        <w:rPr/>
        <w:t xml:space="preserve"> and 2023 c 429 s 2 are each amended to read as follows:</w:t>
      </w:r>
    </w:p>
    <w:p>
      <w:pPr>
        <w:spacing w:before="0" w:after="0" w:line="408" w:lineRule="exact"/>
        <w:ind w:left="0" w:right="0" w:firstLine="576"/>
        <w:jc w:val="left"/>
      </w:pPr>
      <w:r>
        <w:rPr/>
        <w:t xml:space="preserve">(1)(a) </w:t>
      </w:r>
      <w:r>
        <w:t>((</w:t>
      </w:r>
      <w:r>
        <w:rPr>
          <w:strike/>
        </w:rPr>
        <w:t xml:space="preserve">The</w:t>
      </w:r>
      <w:r>
        <w:t>))</w:t>
      </w:r>
      <w:r>
        <w:rPr/>
        <w:t xml:space="preserve"> </w:t>
      </w:r>
      <w:r>
        <w:rPr>
          <w:u w:val="single"/>
        </w:rPr>
        <w:t xml:space="preserve">Except as provided in section 2 of this act, the</w:t>
      </w:r>
      <w:r>
        <w:rPr/>
        <w:t xml:space="preserv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best value objectives.</w:t>
      </w:r>
    </w:p>
    <w:p>
      <w:pPr>
        <w:spacing w:before="0" w:after="0" w:line="408" w:lineRule="exact"/>
        <w:ind w:left="0" w:right="0" w:firstLine="576"/>
        <w:jc w:val="left"/>
      </w:pPr>
      <w:r>
        <w:rPr/>
        <w:t xml:space="preserve">(d) The department must award a credit of 13 percent of the bid price for bid proposals for vessels constructed in the state of Washington, which must be adjusted to reflect the proportion of the construction of the vessels that occurs within the state. This credit represents the:</w:t>
      </w:r>
    </w:p>
    <w:p>
      <w:pPr>
        <w:spacing w:before="0" w:after="0" w:line="408" w:lineRule="exact"/>
        <w:ind w:left="0" w:right="0" w:firstLine="576"/>
        <w:jc w:val="left"/>
      </w:pPr>
      <w:r>
        <w:rPr/>
        <w:t xml:space="preserve">(i) Amount of economic and revenue loss to the state of Washington from constructing vessels outside the state of Washington, as indicated by the Washington institute for public policy study regarding Washington state ferry vessel procurement dated December 2016; and</w:t>
      </w:r>
    </w:p>
    <w:p>
      <w:pPr>
        <w:spacing w:before="0" w:after="0" w:line="408" w:lineRule="exact"/>
        <w:ind w:left="0" w:right="0" w:firstLine="576"/>
        <w:jc w:val="left"/>
      </w:pPr>
      <w:r>
        <w:rPr/>
        <w:t xml:space="preserve">(ii) Additional costs of transport, potential delay, and owner oversight incurred for construction at shipyards located outside the state of Washington.</w:t>
      </w:r>
    </w:p>
    <w:p>
      <w:pPr>
        <w:spacing w:before="0" w:after="0" w:line="408" w:lineRule="exact"/>
        <w:ind w:left="0" w:right="0" w:firstLine="576"/>
        <w:jc w:val="left"/>
      </w:pPr>
      <w:r>
        <w:rPr/>
        <w:t xml:space="preserve">(e) The department must require that contractors meet the requirements of RCW 39.04.320 regarding apprenticeships or other state law or federal law equivalents, where such equivalents exist.</w:t>
      </w:r>
    </w:p>
    <w:p>
      <w:pPr>
        <w:spacing w:before="0" w:after="0" w:line="408" w:lineRule="exact"/>
        <w:ind w:left="0" w:right="0" w:firstLine="576"/>
        <w:jc w:val="left"/>
      </w:pPr>
      <w:r>
        <w:rPr/>
        <w:t xml:space="preserve">(f) The department must require that contractors meet the requirements of chapter 90.48 RCW regarding water pollution control or other state law or federal law equivalents, where such equivalents exist.</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Contractors located in the state of Washington must meet the requirements of RCW 47.60.835, the small business enterprise enforceable goals program.</w:t>
      </w:r>
    </w:p>
    <w:p>
      <w:pPr>
        <w:spacing w:before="0" w:after="0" w:line="408" w:lineRule="exact"/>
        <w:ind w:left="0" w:right="0" w:firstLine="576"/>
        <w:jc w:val="left"/>
      </w:pPr>
      <w:r>
        <w:rPr/>
        <w:t xml:space="preserve">(5)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838</w:t>
      </w:r>
      <w:r>
        <w:rPr/>
        <w:t xml:space="preserve"> (Vessel and terminal electrification program) and 2022 c 182 s 431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0f90b7d8a5e4a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6efbf78fb841d5" /><Relationship Type="http://schemas.openxmlformats.org/officeDocument/2006/relationships/footer" Target="/word/footer1.xml" Id="Rd0f90b7d8a5e4a1e" /></Relationships>
</file>