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98e2ab3d6c47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70</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Robertson, Ryu, Simmons, Reed, Ramel, Lekanoff, Pollet, Callan, Doglio, Orwall, Macri, Timmons, Donaghy, Reeves, Wylie, Bronoske, Paul, Springer, and Thai)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pets are particularly vulnerable to extreme weather conditions, including increased risk of heatstroke-related illness and death, and the inability for pet owners to find pet friendly accommodations is a major barrier to accessing heating and cooling centers and other resources and prevents individuals from evacuating to safety.</w:t>
      </w:r>
    </w:p>
    <w:p>
      <w:pPr>
        <w:spacing w:before="0" w:after="0" w:line="408" w:lineRule="exact"/>
        <w:ind w:left="0" w:right="0" w:firstLine="576"/>
        <w:jc w:val="left"/>
      </w:pPr>
      <w:r>
        <w:rPr/>
        <w:t xml:space="preserve">(4)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(5)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(6)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in geographic areas where vulnerable populations face combined, multiple environmental harms and health impacts as determined by the department,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(2)(a) The department may award grants to political subdivisions and federally recognized tribes, in geographic areas where vulnerable populations face combined, multiple environmental harms and health impacts as determined by the department, for reimbursement of costs in accordance with subsection (3) of this section if the costs were incurred by communities that have demonstrated a lack of local resources to address community needs and were incurred for the benefit of vulnerable populations. For the purposes of this section, vulnerability refers to the resilience of communities when confronted by external stresses on human health, such as natural or human-caused disasters.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(b) The department may utilize grant dollars to purchase temporary, movable shelters, which shall remain in the custody of the department to be loaned out to political subdivisions when requested by the executive head to assist with emergency response to extreme weather events.</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and their pets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w:t>
      </w:r>
    </w:p>
    <w:p>
      <w:pPr>
        <w:spacing w:before="0" w:after="0" w:line="408" w:lineRule="exact"/>
        <w:ind w:left="0" w:right="0" w:firstLine="576"/>
        <w:jc w:val="left"/>
      </w:pPr>
      <w:r>
        <w:rPr/>
        <w:t xml:space="preserve">(e)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(f)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2022 c 157 s 10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Expenditures from the disaster response account may be used for military department operations and to support wildland fire suppression preparedness, prevention, and restoration activities by state agencies and local governments. The legislature may direct the treasurer to make transfers of moneys in the disaster response account to the state general fund.</w:t>
      </w:r>
    </w:p>
    <w:p/>
    <w:p>
      <w:pPr>
        <w:jc w:val="center"/>
      </w:pPr>
      <w:r>
        <w:rPr>
          <w:b/>
        </w:rPr>
        <w:t>--- END ---</w:t>
      </w:r>
    </w:p>
    <w:sectPr>
      <w:pgNumType w:start="1"/>
      <w:footerReference xmlns:r="http://schemas.openxmlformats.org/officeDocument/2006/relationships" r:id="Rb4d2d6e01252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71f1aab254d1d" /><Relationship Type="http://schemas.openxmlformats.org/officeDocument/2006/relationships/footer" Target="/word/footer1.xml" Id="Rb4d2d6e012524a40" /></Relationships>
</file>