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01b1a2ef04a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1032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1032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Dent, Chapman, Ryu, Reed, Graham, Ramel, Pollet, Griffey, Reeves, Tharinger, Wylie, Springer, Kloba, and Donaghy)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through electric utility planning and identification of best management practices appropriate to each electric utility's circumstances; amending RCW 76.04.780; adding a new section to chapter 76.04 RCW; adding a new section to chapter 80.28 RCW; adding a new section to chapter 19.29A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identification of best practices guidelines and to require that electric utilities provide their wildfire mitigation plans to the state in order to promote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consultation with the energy resilience and emergency management office of the department of commerce, shall contract with an independent consultant with experience in developing electric utility wildfire mitigation plans to develop an electric utility wildfire mitigation plan format and a list of elements to be included in electric utility wildfire mitigation plans. When developing the plan format and list of elements, the department shall seek input from the utilities and transportation commission, the utility wildland fire prevention advisory committee, electric utilities, the state fire marshal, the governor's office of Indian affairs, and the public. By April 1, 2024, the department shall make public a recommended format and list of elements for electric utility wildfire mitigation plans. The department may update these guidelines annually if needed, but not more than once in each year.</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measures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(f) Identification of appropriate widths for vegetation management and rights-of-way, including the consideration of fire-resistant vegetation alternatives; and</w:t>
      </w:r>
    </w:p>
    <w:p>
      <w:pPr>
        <w:spacing w:before="0" w:after="0" w:line="408" w:lineRule="exact"/>
        <w:ind w:left="0" w:right="0" w:firstLine="576"/>
        <w:jc w:val="left"/>
      </w:pPr>
      <w:r>
        <w:rPr/>
        <w:t xml:space="preserve">(g) Public and interested parties' engagement and communication plans addressing wildfire safety and risk mitigation.</w:t>
      </w:r>
    </w:p>
    <w:p>
      <w:pPr>
        <w:spacing w:before="0" w:after="0" w:line="408" w:lineRule="exact"/>
        <w:ind w:left="0" w:right="0" w:firstLine="576"/>
        <w:jc w:val="left"/>
      </w:pPr>
      <w:r>
        <w:rPr/>
        <w:t xml:space="preserve">(3) The recommended format and list of elements identified by the department must be forwarded to the utilities and transportation commission, the energy resilience and emergency management office of the department of commerce, and all electric utilities in Washington state for a review period of no less than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department will provide technical assistance to all electric utilities to support inclusion of these guidelines in the revision of their plans.</w:t>
      </w:r>
    </w:p>
    <w:p>
      <w:pPr>
        <w:spacing w:before="0" w:after="0" w:line="408" w:lineRule="exact"/>
        <w:ind w:left="0" w:right="0" w:firstLine="576"/>
        <w:jc w:val="left"/>
      </w:pPr>
      <w:r>
        <w:rPr/>
        <w:t xml:space="preserve">(5) By December 31, 2024, the department must submit to the appropriate committees of the senate and house of representatives a compilation and summary of existing wildfire mitigation plans maintained by electric utilities.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"Electric utility" means a consumer-owned utility or an investor-owned utility as defined in this section.</w:t>
      </w:r>
    </w:p>
    <w:p>
      <w:pPr>
        <w:spacing w:before="0" w:after="0" w:line="408" w:lineRule="exact"/>
        <w:ind w:left="0" w:right="0" w:firstLine="576"/>
        <w:jc w:val="left"/>
      </w:pPr>
      <w:r>
        <w:rPr/>
        <w:t xml:space="preserve">(c)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investor-owned utility must review and, if appropriate, revise its wildfire mitigation plan. When reviewing or revising a wildfire mitigation plan, an investor-owned utility must use the recommended format and elements pursuant to section 2 of this act.</w:t>
      </w:r>
    </w:p>
    <w:p>
      <w:pPr>
        <w:spacing w:before="0" w:after="0" w:line="408" w:lineRule="exact"/>
        <w:ind w:left="0" w:right="0" w:firstLine="576"/>
        <w:jc w:val="left"/>
      </w:pPr>
      <w:r>
        <w:rPr/>
        <w:t xml:space="preserve">(a) Local fire protection districts must be provided the opportunity to provide input for each wildfire mitigation plan. Each investor-owned utility must submit its wildfire mitigation plan to the utilities and transportation commission for review, and the commission will confirm whether or not the plan contains the recommended elements. Each investor-owned utility must provide a copy of their wildfire mitigation plan to the department of natural resources, along with a list and description of wildland fires involving utility equipment over the previous two years as reported by the department of natural resources. The wildfire mitigation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utilities and transportation commission is not liable for an investor-owned utility's implementation of its wildfire mitigation plan. An investor-owned utility may pursue recovery of costs and investments associated with a wildfire mitigation plan through a proceeding to set rates at the commission.</w:t>
      </w:r>
    </w:p>
    <w:p>
      <w:pPr>
        <w:spacing w:before="0" w:after="0" w:line="408" w:lineRule="exact"/>
        <w:ind w:left="0" w:right="0" w:firstLine="576"/>
        <w:jc w:val="left"/>
      </w:pPr>
      <w:r>
        <w:rPr/>
        <w:t xml:space="preserve">(c) Investor-owned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Nothing in this section prohibits an investor-owned utility from reviewing or updating its wildfire mitigation plan more often than required in subsection (1) of this section.</w:t>
      </w:r>
    </w:p>
    <w:p>
      <w:pPr>
        <w:spacing w:before="0" w:after="0" w:line="408" w:lineRule="exact"/>
        <w:ind w:left="0" w:right="0" w:firstLine="576"/>
        <w:jc w:val="left"/>
      </w:pPr>
      <w:r>
        <w:rPr/>
        <w:t xml:space="preserve">(3) For the purposes of this section, the term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consumer-owned utility must review, if appropriate revise, and adopt its wildfire mitigation plan. When reviewing or revising a wildfire mitigation plan, a consumer-owned utility must use the recommended format and elements pursuant to section 2 of this act.</w:t>
      </w:r>
    </w:p>
    <w:p>
      <w:pPr>
        <w:spacing w:before="0" w:after="0" w:line="408" w:lineRule="exact"/>
        <w:ind w:left="0" w:right="0" w:firstLine="576"/>
        <w:jc w:val="left"/>
      </w:pPr>
      <w:r>
        <w:rPr/>
        <w:t xml:space="preserve">(a) The governing board of each consumer-owned utility shall review the plan. Local fire protection districts must be provided the opportunity to provide input. After the governing board's review, the utility must provide a copy to the department of natural resources, along with a list and description of wildland fires involving utility equipment within its customer service area over the previous two years as reported by the department of natural resources. The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department of natural resources is not responsible for a consumer-owned utility's implementation of its wildfire mitigation plan. The department's review of the consumer-owned utility's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Consumer-owned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Two or more abutting consumer-owned utilities may codevelop a wildfire mitigation plan. Wildfire mitigation plans that are codeveloped by more than one utility may identify areas of common implementation, including communication protocols, that will assist in implementing the identified recommended elements pursuant to section 2 of this act.</w:t>
      </w:r>
    </w:p>
    <w:p>
      <w:pPr>
        <w:spacing w:before="0" w:after="0" w:line="408" w:lineRule="exact"/>
        <w:ind w:left="0" w:right="0" w:firstLine="576"/>
        <w:jc w:val="left"/>
      </w:pPr>
      <w:r>
        <w:rPr/>
        <w:t xml:space="preserve">(3) Nothing in this section prohibits a consumer-owned utility from reviewing or updating its wildfire mitigation plan more often than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r>
        <w:rPr>
          <w:u w:val="single"/>
        </w:rPr>
        <w:t xml:space="preserve">, with an update by May 30, 2024, and updated every three years thereafter</w:t>
      </w:r>
      <w:r>
        <w:rPr/>
        <w:t xml:space="preserve">:</w:t>
      </w:r>
    </w:p>
    <w:p>
      <w:pPr>
        <w:spacing w:before="0" w:after="0" w:line="408" w:lineRule="exact"/>
        <w:ind w:left="0" w:right="0" w:firstLine="576"/>
        <w:jc w:val="left"/>
      </w:pPr>
      <w:r>
        <w:rPr/>
        <w:t xml:space="preserve">(i) </w:t>
      </w:r>
      <w:r>
        <w:t>((</w:t>
      </w:r>
      <w:r>
        <w:rPr>
          <w:strike/>
        </w:rPr>
        <w:t xml:space="preserve">Finalizing</w:t>
      </w:r>
      <w:r>
        <w:t>))</w:t>
      </w:r>
      <w:r>
        <w:rPr/>
        <w:t xml:space="preserve"> </w:t>
      </w:r>
      <w:r>
        <w:rPr>
          <w:u w:val="single"/>
        </w:rPr>
        <w:t xml:space="preserve">Implementing and updating as appropriate</w:t>
      </w:r>
      <w:r>
        <w:rPr/>
        <w:t xml:space="preserve">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w:t>
      </w:r>
      <w:r>
        <w:rPr>
          <w:u w:val="single"/>
        </w:rPr>
        <w:t xml:space="preserve">and updating</w:t>
      </w:r>
      <w:r>
        <w:rPr/>
        <w:t xml:space="preserve">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w:t>
      </w:r>
      <w:r>
        <w:rPr>
          <w:u w:val="single"/>
        </w:rPr>
        <w:t xml:space="preserve">and updating</w:t>
      </w:r>
      <w:r>
        <w:rPr/>
        <w:t xml:space="preserve">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w:t>
      </w:r>
      <w:r>
        <w:rPr>
          <w:u w:val="single"/>
        </w:rPr>
        <w:t xml:space="preserve">and updating</w:t>
      </w:r>
      <w:r>
        <w:rPr/>
        <w:t xml:space="preserve">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w:t>
      </w:r>
      <w:r>
        <w:rPr>
          <w:u w:val="single"/>
        </w:rPr>
        <w:t xml:space="preserve">and updating</w:t>
      </w:r>
      <w:r>
        <w:rPr/>
        <w:t xml:space="preserve">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p>
    <w:p>
      <w:pPr>
        <w:spacing w:before="0" w:after="0" w:line="408" w:lineRule="exact"/>
        <w:ind w:left="0" w:right="0" w:firstLine="576"/>
        <w:jc w:val="left"/>
      </w:pPr>
      <w:r>
        <w:rPr/>
        <w:t xml:space="preserve">(4) </w:t>
      </w:r>
      <w:r>
        <w:rPr>
          <w:u w:val="single"/>
        </w:rPr>
        <w:t xml:space="preserve">The utility wildland fire prevention advisory committee must develop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energy resilience and emergency management office of the department of commerce and the utilities and transportation commission.</w:t>
      </w:r>
    </w:p>
    <w:p>
      <w:pPr>
        <w:spacing w:before="0" w:after="0" w:line="408" w:lineRule="exact"/>
        <w:ind w:left="0" w:right="0" w:firstLine="576"/>
        <w:jc w:val="left"/>
      </w:pPr>
      <w:r>
        <w:rPr>
          <w:u w:val="single"/>
        </w:rPr>
        <w:t xml:space="preserve">(5) The utility wildland fire prevention advisory committee must host electric utility wildfire mitigation plans as described under section 4 of this act on its website.</w:t>
      </w:r>
    </w:p>
    <w:p>
      <w:pPr>
        <w:spacing w:before="0" w:after="0" w:line="408" w:lineRule="exact"/>
        <w:ind w:left="0" w:right="0" w:firstLine="576"/>
        <w:jc w:val="left"/>
      </w:pPr>
      <w:r>
        <w:rPr>
          <w:u w:val="single"/>
        </w:rPr>
        <w:t xml:space="preserve">(6)</w:t>
      </w:r>
      <w:r>
        <w:rPr/>
        <w:t xml:space="preserve"> The commissioner or the commissioner's designee must chair the advisory committee created in subsection (1) of this section and must appoint advisory committee members. </w:t>
      </w:r>
      <w:r>
        <w:rPr>
          <w:u w:val="single"/>
        </w:rPr>
        <w:t xml:space="preserve">The commissioner shall invite a representative of the energy resilience and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 </w:t>
      </w:r>
      <w:r>
        <w:rPr>
          <w:u w:val="single"/>
        </w:rPr>
        <w:t xml:space="preserve">or mutual corporations or associations</w:t>
      </w:r>
      <w:r>
        <w:rPr/>
        <w:t xml:space="preserve">;</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w:t>
      </w:r>
      <w:r>
        <w:t>((</w:t>
      </w:r>
      <w:r>
        <w:rPr>
          <w:strike/>
        </w:rPr>
        <w:t xml:space="preserve">and</w:t>
      </w:r>
      <w:r>
        <w:t>))</w:t>
      </w:r>
    </w:p>
    <w:p>
      <w:pPr>
        <w:spacing w:before="0" w:after="0" w:line="408" w:lineRule="exact"/>
        <w:ind w:left="0" w:right="0" w:firstLine="576"/>
        <w:jc w:val="left"/>
      </w:pPr>
      <w:r>
        <w:rPr/>
        <w:t xml:space="preserve">(c) </w:t>
      </w:r>
      <w:r>
        <w:t>((</w:t>
      </w:r>
      <w:r>
        <w:rPr>
          <w:strike/>
        </w:rPr>
        <w:t xml:space="preserve">No more than two other</w:t>
      </w:r>
      <w:r>
        <w:t>))</w:t>
      </w:r>
      <w:r>
        <w:rPr/>
        <w:t xml:space="preserve"> </w:t>
      </w:r>
      <w:r>
        <w:rPr>
          <w:u w:val="single"/>
        </w:rPr>
        <w:t xml:space="preserve">Other</w:t>
      </w:r>
      <w:r>
        <w:rPr/>
        <w:t xml:space="preserve"> persons </w:t>
      </w:r>
      <w:r>
        <w:t>((</w:t>
      </w:r>
      <w:r>
        <w:rPr>
          <w:strike/>
        </w:rPr>
        <w:t xml:space="preserve">designated by</w:t>
      </w:r>
      <w:r>
        <w:t>))</w:t>
      </w:r>
      <w:r>
        <w:rPr/>
        <w:t xml:space="preserve"> </w:t>
      </w:r>
      <w:r>
        <w:rPr>
          <w:u w:val="single"/>
        </w:rPr>
        <w:t xml:space="preserve">whom</w:t>
      </w:r>
      <w:r>
        <w:rPr/>
        <w:t xml:space="preserve"> the commissioner</w:t>
      </w:r>
      <w:r>
        <w:t>((</w:t>
      </w:r>
      <w:r>
        <w:rPr>
          <w:strike/>
        </w:rPr>
        <w:t xml:space="preserve">.</w:t>
      </w:r>
    </w:p>
    <w:p>
      <w:pPr>
        <w:spacing w:before="0" w:after="0" w:line="408" w:lineRule="exact"/>
        <w:ind w:left="0" w:right="0" w:firstLine="576"/>
        <w:jc w:val="left"/>
      </w:pPr>
      <w:r>
        <w:rPr>
          <w:strike/>
        </w:rPr>
        <w:t xml:space="preserve">(5) In addition to the advisory committee membership established in subsection (4) of this section, the commissioner shall designate two additional advisory committee members</w:t>
      </w:r>
      <w:r>
        <w:t>))</w:t>
      </w:r>
      <w:r>
        <w:rPr/>
        <w:t xml:space="preserve"> </w:t>
      </w:r>
      <w:r>
        <w:rPr>
          <w:u w:val="single"/>
        </w:rPr>
        <w:t xml:space="preserve">deems appropriate to carry out the functions of the advisory committee; and</w:t>
      </w:r>
    </w:p>
    <w:p>
      <w:pPr>
        <w:spacing w:before="0" w:after="0" w:line="408" w:lineRule="exact"/>
        <w:ind w:left="0" w:right="0" w:firstLine="576"/>
        <w:jc w:val="left"/>
      </w:pPr>
      <w:r>
        <w:rPr>
          <w:u w:val="single"/>
        </w:rPr>
        <w:t xml:space="preserve">(d) Two persons</w:t>
      </w:r>
      <w:r>
        <w:rPr/>
        <w:t xml:space="preserve"> representing historically marginalized or underrepresented communities.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commissioner or the commissioner's designee shall convene the initial meeting of the advisory committee</w:t>
      </w:r>
      <w:r>
        <w:rPr>
          <w:u w:val="single"/>
        </w:rPr>
        <w:t xml:space="preserve">. The advisory committee chair must schedule and hold meetings on a regular basis, at a minimum of twice per year but not more than four times per year, in order to expeditiously accomplish the duties and make recommendations regarding the elements described in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Participation on the advisory committee created in subsection (1) of this section is strictly voluntary and without compensation</w:t>
      </w:r>
      <w:r>
        <w:rPr>
          <w:u w:val="single"/>
        </w:rPr>
        <w:t xml:space="preserve">. A lack of volunteers or applicants for any category may not prevent the committee from meeting and conducting its business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Any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2cc46624091540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05fc122fe43be" /><Relationship Type="http://schemas.openxmlformats.org/officeDocument/2006/relationships/footer" Target="/word/footer1.xml" Id="R2cc46624091540ba" /></Relationships>
</file>