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6724fa360f4bb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1054</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2024</w:t>
            </w:r>
          </w:p>
          <w:p>
            <w:pPr>
              <w:ind w:left="0" w:right="0" w:firstLine="360"/>
            </w:pPr>
            <w:r>
              <w:t xml:space="preserve">Yeas </w:t>
              <w:t xml:space="preserve">68</w:t>
            </w:r>
            <w:r>
              <w:t xml:space="preserve">  Nays </w:t>
              <w:t xml:space="preserve">29</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22, 2024</w:t>
            </w:r>
          </w:p>
          <w:p>
            <w:pPr>
              <w:ind w:left="0" w:right="0" w:firstLine="360"/>
            </w:pPr>
            <w:r>
              <w:t xml:space="preserve">Yeas </w:t>
              <w:t xml:space="preserve">30</w:t>
            </w:r>
            <w:r>
              <w:t xml:space="preserve">  Nays </w:t>
              <w:t xml:space="preserve">19</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1054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1054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Representatives Walen, Simmons, Ryu, Bateman, Ramel, Doglio, Macri, Gregerson, Springer, Thai, Kloba, and Donaghy</w:t>
      </w:r>
    </w:p>
    <w:p/>
    <w:p>
      <w:r>
        <w:rPr>
          <w:t xml:space="preserve">Prefiled 12/20/22.</w:t>
        </w:rPr>
      </w:r>
      <w:r>
        <w:rPr>
          <w:t xml:space="preserve">Read first time 01/09/23.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authority of owners' associations in common interest communities to regulate or limit occupancy by unrelated persons; adding a new section to chapter 64.32 RCW; adding a new section to chapter 64.34 RCW; adding a new section to chapter 64.38 RCW; adding a new section to chapter 64.90 RCW;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Except for occupancy limits on short-term rentals as defined in RCW 64.37.010 and any lawful limits on occupant load per square foot or generally applicable health and safety provisions as established by applicable building code, city ordinance, or county ordinance, an association of apartment owners may not adopt or enforce a restriction, covenant, condition, bylaw, rule, regulation, provision of a governing document, or master deed provision that regulates or limits the number of unrelated persons that may occupy an apartment.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Except for occupancy limits on short-term rentals as defined in RCW 64.37.010 and any lawful limits on occupant load per square foot or generally applicable health and safety provisions as established by applicable building code, city ordinance, or county ordinance, a unit owners' association may not adopt or enforce a restriction, covenant, condition, bylaw, rule, regulation, provision of a governing document, or master deed provision that regulates or limits the number of unrelated persons that may occupy a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Except for occupancy limits on short-term rentals as defined in RCW 64.37.010 and any lawful limits on occupant load per square foot or generally applicable health and safety provisions as established by applicable building code, city ordinance, or county ordinance, a homeowners' association may not adopt or enforce a restriction, covenant, condition, bylaw, rule, regulation, provision of a governing document, or master deed provision that regulates or limits the number of unrelated persons that may occupy a lot.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Except for occupancy limits on short-term rentals as defined in RCW 64.37.010 and any lawful limits on occupant load per square foot or generally applicable health and safety provisions as established by applicable building code, city ordinance, or county ordinance, a unit owners association may not adopt or enforce a restriction, covenant, condition, bylaw, rule, regulation, provision of a governing document, or master deed provision that regulates or limits the number of unrelated persons that may occupy a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chapter . . . (Engrossed Substitute Senate Bill No. 5796), Laws of 2024 is enacted by June 30, 2024, sections 1 through 3 of this act expire January 1, 2028.</w:t>
      </w:r>
    </w:p>
    <w:p/>
    <w:p>
      <w:pPr>
        <w:jc w:val="center"/>
      </w:pPr>
      <w:r>
        <w:rPr>
          <w:b/>
        </w:rPr>
        <w:t>--- END ---</w:t>
      </w:r>
    </w:p>
    <w:sectPr>
      <w:pgNumType w:start="1"/>
      <w:footerReference xmlns:r="http://schemas.openxmlformats.org/officeDocument/2006/relationships" r:id="R6a5419e294324d1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1054.PL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4ab90e24ae42e5" /><Relationship Type="http://schemas.openxmlformats.org/officeDocument/2006/relationships/footer" Target="/word/footer1.xml" Id="R6a5419e294324d19" /></Relationships>
</file>