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dbd4bfb0846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26</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Fosse, Reeves, Reed, Berry, Doglio, Wylie, Kloba, Santos,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50.20.050 and 50.29.021; adding a new section to chapter 50.04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2022 c 268 s 42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3, 2023; of the death, illness, or disability of a family member for separations that occur on or after September 3, 2023; or the care for a child or a vulnerable adult in the claimant's care is inaccessible for separations that occur on or after July 7, 2024, and before July 8, 2029. However, to qualify based on a circumstance in this subsection (2)(b)(ii), the following requirements must be met</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w:t>
      </w:r>
    </w:p>
    <w:p>
      <w:pPr>
        <w:spacing w:before="0" w:after="0" w:line="408" w:lineRule="exact"/>
        <w:ind w:left="0" w:right="0" w:firstLine="576"/>
        <w:jc w:val="left"/>
      </w:pPr>
      <w:r>
        <w:rPr>
          <w:u w:val="single"/>
        </w:rPr>
        <w:t xml:space="preserve">(xiii) For separations that occur on or after July 7, 2024, the claimant:</w:t>
      </w:r>
      <w:r>
        <w:rPr>
          <w:u w:val="single"/>
        </w:rPr>
        <w:t xml:space="preserve"> (A) Left work to relocate in order to follow a minor child who moved outside of the claimant's labor market; (B) remained employed as long as was reasonable prior to relocating; and (C) had parental rights over the minor child at the time of the job separation; or</w:t>
      </w:r>
    </w:p>
    <w:p>
      <w:pPr>
        <w:spacing w:before="0" w:after="0" w:line="408" w:lineRule="exact"/>
        <w:ind w:left="0" w:right="0" w:firstLine="576"/>
        <w:jc w:val="left"/>
      </w:pPr>
      <w:r>
        <w:rPr>
          <w:u w:val="single"/>
        </w:rPr>
        <w:t xml:space="preserve">(xiv) For separations that occur on or after July 7, 2024, the claimant had a regularly scheduled shift or split shift start or end time for the prior 90 calendar days, and the employer, without request by the claimant and not based on a system of seniority, changed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w:t>
      </w:r>
      <w:r>
        <w:rPr>
          <w:u w:val="single"/>
        </w:rPr>
        <w:t xml:space="preserve">(ii), only for </w:t>
      </w:r>
      <w:r>
        <w:rPr>
          <w:u w:val="single"/>
        </w:rPr>
        <w:t xml:space="preserve">separation that was necessary because the care for a child or a vulnerable adult in the claimant's care is inaccessible,</w:t>
      </w:r>
      <w:r>
        <w:rPr/>
        <w:t xml:space="preserve"> (iv), (xi), </w:t>
      </w:r>
      <w:r>
        <w:t>((</w:t>
      </w:r>
      <w:r>
        <w:rPr>
          <w:strike/>
        </w:rPr>
        <w:t xml:space="preserve">or</w:t>
      </w:r>
      <w:r>
        <w:t>))</w:t>
      </w:r>
      <w:r>
        <w:rPr/>
        <w:t xml:space="preserve"> (xii), </w:t>
      </w:r>
      <w:r>
        <w:rPr>
          <w:u w:val="single"/>
        </w:rPr>
        <w:t xml:space="preserve">or (xiii),</w:t>
      </w:r>
      <w:r>
        <w:rPr/>
        <w:t xml:space="preserve">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2028, and in compliance with RCW 43.01.036, the employment security department must submit a report to the legislature that details the number of unemployment insurance benefit claims, the impact on the trust fund and employer experience ratings, and any trends for utilization by industries for claims allowed for separations on or after July 7, 2024, and before July 2, 2028, which were necessary because care for a child or a vulnerable adult in the claimant's care was inaccessible as provided in RCW 50.02.050.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eff888d7faac40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6b3cd70d24bac" /><Relationship Type="http://schemas.openxmlformats.org/officeDocument/2006/relationships/footer" Target="/word/footer1.xml" Id="Reff888d7faac409f" /></Relationships>
</file>