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52637f91434d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1107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1107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Fosse, Reed, Berry, Ramel, Doglio, Simmons, Reeves, Kloba, Riccelli, and Ormsby; by request of Employment Security Department</w:t>
      </w:r>
    </w:p>
    <w:p/>
    <w:p>
      <w:r>
        <w:rPr>
          <w:t xml:space="preserve">Prefiled 01/03/23.</w:t>
        </w:rPr>
      </w:r>
      <w:r>
        <w:rPr>
          <w:t xml:space="preserve">Read first time 01/09/23.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terms "master" and "servant" from Titles 50 and 50A RCW; amending RCW 50.04.100 and 50A.05.010;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w:t>
      </w:r>
      <w:r>
        <w:t>((</w:t>
      </w:r>
      <w:r>
        <w:rPr>
          <w:strike/>
        </w:rPr>
        <w:t xml:space="preserve">the relationship of master and servant</w:t>
      </w:r>
      <w:r>
        <w:t>))</w:t>
      </w:r>
      <w:r>
        <w:rPr/>
        <w:t xml:space="preserve"> </w:t>
      </w:r>
      <w:r>
        <w:rPr>
          <w:u w:val="single"/>
        </w:rPr>
        <w:t xml:space="preserve">any employment relationship</w:t>
      </w:r>
      <w:r>
        <w:rPr/>
        <w:t xml:space="preserve"> as known to the common law or any other legal relationship, including service in interstate commerce, performed for wages or under any contract calling for the performance of personal services, written or oral, express or implied.</w:t>
      </w:r>
    </w:p>
    <w:p>
      <w:pPr>
        <w:spacing w:before="0" w:after="0" w:line="408" w:lineRule="exact"/>
        <w:ind w:left="0" w:right="0" w:firstLine="576"/>
        <w:jc w:val="left"/>
      </w:pPr>
      <w:r>
        <w:rPr/>
        <w:t xml:space="preserve">Except as provided by RCW 50.04.145, personal services performed for an employing unit by one or more contractors or subcontractors acting individually or as a partnership, which do not meet the provisions of RCW 50.04.140,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2022 c 233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w:t>
      </w:r>
      <w:r>
        <w:t>((</w:t>
      </w:r>
      <w:r>
        <w:rPr>
          <w:strike/>
        </w:rPr>
        <w:t xml:space="preserve">the relationship of master and servant</w:t>
      </w:r>
      <w:r>
        <w:t>))</w:t>
      </w:r>
      <w:r>
        <w:rPr/>
        <w:t xml:space="preserve"> </w:t>
      </w:r>
      <w:r>
        <w:rPr>
          <w:u w:val="single"/>
        </w:rPr>
        <w:t xml:space="preserve">any employment relationship</w:t>
      </w:r>
      <w:r>
        <w:rPr/>
        <w:t xml:space="preserve">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(11) of this section; or</w:t>
      </w:r>
    </w:p>
    <w:p>
      <w:pPr>
        <w:spacing w:before="0" w:after="0" w:line="408" w:lineRule="exact"/>
        <w:ind w:left="0" w:right="0" w:firstLine="576"/>
        <w:jc w:val="left"/>
      </w:pPr>
      <w:r>
        <w:rPr/>
        <w:t xml:space="preserve">(d) During the seven calendar days following the death of the family member for whom the employee:</w:t>
      </w:r>
    </w:p>
    <w:p>
      <w:pPr>
        <w:spacing w:before="0" w:after="0" w:line="408" w:lineRule="exact"/>
        <w:ind w:left="0" w:right="0" w:firstLine="576"/>
        <w:jc w:val="left"/>
      </w:pPr>
      <w:r>
        <w:rPr/>
        <w:t xml:space="preserve">(i) Would have qualified for medical leave under subsection (15) of this section for the birth of their child; or</w:t>
      </w:r>
    </w:p>
    <w:p>
      <w:pPr>
        <w:spacing w:before="0" w:after="0" w:line="408" w:lineRule="exact"/>
        <w:ind w:left="0" w:right="0" w:firstLine="576"/>
        <w:jc w:val="left"/>
      </w:pPr>
      <w:r>
        <w:rPr/>
        <w:t xml:space="preserve">(ii) Would have qualified for family leave under (b) of this subsection.</w:t>
      </w:r>
    </w:p>
    <w:p>
      <w:pPr>
        <w:spacing w:before="0" w:after="0" w:line="408" w:lineRule="exact"/>
        <w:ind w:left="0" w:right="0" w:firstLine="576"/>
        <w:jc w:val="left"/>
      </w:pPr>
      <w:r>
        <w:rPr/>
        <w:t xml:space="preserve">(11) "Family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"Postnatal" means the first six weeks after birth.</w:t>
      </w:r>
    </w:p>
    <w:p>
      <w:pPr>
        <w:spacing w:before="0" w:after="0" w:line="408" w:lineRule="exact"/>
        <w:ind w:left="0" w:right="0" w:firstLine="576"/>
        <w:jc w:val="left"/>
      </w:pPr>
      <w:r>
        <w:rPr/>
        <w:t xml:space="preserve">(20)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(21)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(22)(a)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(23)(a)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(24) "Service is localized in this state" has the same meaning as described in RCW 50.04.120.</w:t>
      </w:r>
    </w:p>
    <w:p>
      <w:pPr>
        <w:spacing w:before="0" w:after="0" w:line="408" w:lineRule="exact"/>
        <w:ind w:left="0" w:right="0" w:firstLine="576"/>
        <w:jc w:val="left"/>
      </w:pPr>
      <w:r>
        <w:rPr/>
        <w:t xml:space="preserve">(25) "Spouse" means a husband or wife, as the case may be, or state registered domestic partner.</w:t>
      </w:r>
    </w:p>
    <w:p>
      <w:pPr>
        <w:spacing w:before="0" w:after="0" w:line="408" w:lineRule="exact"/>
        <w:ind w:left="0" w:right="0" w:firstLine="576"/>
        <w:jc w:val="left"/>
      </w:pPr>
      <w:r>
        <w:rPr/>
        <w:t xml:space="preserve">(26)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(27)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t xml:space="preserve">(28)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(29)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enacting this act, the legislature only intends to amend the Revised Code of Washington to use inclusive language. The legislature does not intend to either increase or reduce the scope of the definitions of "employment" contained in Title 50 or 50A RCW.</w:t>
      </w:r>
    </w:p>
    <w:p/>
    <w:p>
      <w:pPr>
        <w:jc w:val="center"/>
      </w:pPr>
      <w:r>
        <w:rPr>
          <w:b/>
        </w:rPr>
        <w:t>--- END ---</w:t>
      </w:r>
    </w:p>
    <w:sectPr>
      <w:pgNumType w:start="1"/>
      <w:footerReference xmlns:r="http://schemas.openxmlformats.org/officeDocument/2006/relationships" r:id="R26e2a0329d8e42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822f961f384bf3" /><Relationship Type="http://schemas.openxmlformats.org/officeDocument/2006/relationships/footer" Target="/word/footer1.xml" Id="R26e2a0329d8e4240" /></Relationships>
</file>