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5a75586e743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Chapman, Dent, Ramel, Leavitt, Doglio, Lekanoff, Donaghy, and Ormsby;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amending RCW 43.83B.415 and 90.86.030; reenacting and amending RCW 43.83B.430; and adding new sections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During the 2021-2023 fiscal biennium, moneys in the account may be used for water banking pilot projects. Moneys in the account may be spent only after appropriation. During the 2021-2023 fiscal biennium, the legislature may appropriate moneys from the account for activities related to water banking.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those amounts necessary to bring the balance of the emergency drought response account to $3,000,000, based upon the determination of the transfer amount from the office of financial management. The office of financial management must determine the fund balance of the emergency drought response account as of the previous fiscal month before the issuance of an order of drought emergency.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All receipts from moneys received pursuant to section 3 of this act,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 The department must, at a minimum, provide the director of the office of financial management, legislative fiscal committees, and the joint legislative committee on water supply during drought, established under RCW 90.86.010, with a close-out cost summary following the expiration of an emergency drought order during which expenditures were made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NumType w:start="1"/>
      <w:footerReference xmlns:r="http://schemas.openxmlformats.org/officeDocument/2006/relationships" r:id="R46b7990ddc68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a9c2c11284c70" /><Relationship Type="http://schemas.openxmlformats.org/officeDocument/2006/relationships/footer" Target="/word/footer1.xml" Id="R46b7990ddc684c6a" /></Relationships>
</file>