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604337d7d45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1143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28</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Berry, Walen, Reed, Peterson, Street, Bateman, Ramel, Senn, Callan, Doglio, Macri, Lekanoff, Duerr, Pollet, Davis, Kloba, Fosse, and Ormsby;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9.41.047, 9.41.092, 9.41.094, 9.41.097, 9.41.0975, 9.41.110, and 9.41.1135; adding a new section to chapter 9.41 RCW; creating a new section;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w:t>
      </w:r>
      <w:r>
        <w:t>((</w:t>
      </w:r>
      <w:r>
        <w:rPr>
          <w:strike/>
        </w:rPr>
        <w:t xml:space="preserve">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provides proof of completion of a recognized firearm safety training program within the last five years that complies with the requirements in section 2 of this act, or proof that the purchaser is exempt from the training requirement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w:t>
      </w:r>
      <w:r>
        <w:t>((</w:t>
      </w:r>
      <w:r>
        <w:rPr>
          <w:strike/>
        </w:rPr>
        <w:t xml:space="preserve">RCW 9.41.040, as provided in subsection (3)(b) of this section; or</w:t>
      </w:r>
      <w:r>
        <w:t>))</w:t>
      </w:r>
      <w:r>
        <w:rPr/>
        <w:t xml:space="preserve"> </w:t>
      </w:r>
      <w:r>
        <w:rPr>
          <w:u w:val="single"/>
        </w:rPr>
        <w:t xml:space="preserve">state and federal law;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w:t>
      </w:r>
      <w:r>
        <w:t>((</w:t>
      </w:r>
      <w:r>
        <w:rPr>
          <w:strike/>
        </w:rPr>
        <w:t xml:space="preserve">meets the requirements of RCW 9.41.040</w:t>
      </w:r>
      <w:r>
        <w:t>))</w:t>
      </w:r>
      <w:r>
        <w:rPr/>
        <w:t xml:space="preserve"> </w:t>
      </w:r>
      <w:r>
        <w:rPr>
          <w:u w:val="single"/>
        </w:rPr>
        <w:t xml:space="preserve">is eligible to possess a firearm</w:t>
      </w:r>
      <w:r>
        <w:rPr/>
        <w:t xml:space="preserve">,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has not complied with the requirements of this section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applying for the purchase or transfer of a firearm must provide proof of completion of a recognized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and</w:t>
      </w:r>
    </w:p>
    <w:p>
      <w:pPr>
        <w:spacing w:before="0" w:after="0" w:line="408" w:lineRule="exact"/>
        <w:ind w:left="0" w:right="0" w:firstLine="576"/>
        <w:jc w:val="left"/>
      </w:pPr>
      <w:r>
        <w:rPr/>
        <w:t xml:space="preserve">(h) Techniques for avoiding a criminal attack and how to manage a violent confrontation, including conflict resolution.</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that the training included the minimum requirements.</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w:t>
      </w:r>
      <w:r>
        <w:rPr>
          <w:u w:val="single"/>
        </w:rPr>
        <w:t xml:space="preserve">under state or federal law, including if the person was convicted of possession under RCW 69.50.4011, 69.50.4013, 69.50.4014, or 69.41.030</w:t>
      </w:r>
      <w:r>
        <w:rPr/>
        <w:t xml:space="preserve">,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criminal records division,</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w:t>
      </w:r>
      <w:r>
        <w:t>((</w:t>
      </w:r>
      <w:r>
        <w:rPr>
          <w:strike/>
        </w:rPr>
        <w:t xml:space="preserve">the earlier of</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w:t>
      </w:r>
      <w:r>
        <w:rPr>
          <w:u w:val="single"/>
        </w:rPr>
        <w:t xml:space="preserve">,</w:t>
      </w:r>
      <w:r>
        <w:rPr/>
        <w:t xml:space="preserve"> or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w:t>
      </w:r>
      <w:r>
        <w:rPr>
          <w:u w:val="single"/>
        </w:rPr>
        <w:t xml:space="preserve">The dealer shall retain the transfer record for six years.</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r>
        <w:t>))</w:t>
      </w:r>
      <w:r>
        <w:rPr/>
        <w:t xml:space="preserve"> </w:t>
      </w:r>
      <w:r>
        <w:rPr>
          <w:u w:val="single"/>
        </w:rPr>
        <w:t xml:space="preserve">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bbcd7141034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3806c680e46a9" /><Relationship Type="http://schemas.openxmlformats.org/officeDocument/2006/relationships/footer" Target="/word/footer1.xml" Id="R1bbcd71410344c40" /></Relationships>
</file>