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ad248974e40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Street, Couture, Berry, Ramel, Fitzgibbon, Lekanoff, Duerr, Thai, and Pollet; by request of Department of Ecology)</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new sections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In developing the engagement plan for development of the strategy, the department of ecology shall announce the opportunity to participate and include, to the extent possible, organizations that express interest in participating.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0" w:after="0" w:line="408" w:lineRule="exact"/>
        <w:ind w:left="0" w:right="0" w:firstLine="576"/>
        <w:jc w:val="left"/>
      </w:pPr>
      <w:r>
        <w:rPr>
          <w:u w:val="single"/>
        </w:rPr>
        <w:t xml:space="preserve">(c) The University of Washington climate impacts group must examine existing best practices and new methods that could be used to measure and evaluate climate change resilience for the purpose of better understanding and tracking how investments made in climate change resilience translate into outcomes. The results of this examination must be provided to the legislature by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September 30,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 Specifically, prioritized actions must include those related to drought resilience, flood risk mitigation, forest health, urban heat islands and the impacts of the built environment on the natural environment, Puget Sound health, and mitigating expected impacts on outdoor recreation opportunities;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 and</w:t>
      </w:r>
    </w:p>
    <w:p>
      <w:pPr>
        <w:spacing w:before="0" w:after="0" w:line="408" w:lineRule="exact"/>
        <w:ind w:left="0" w:right="0" w:firstLine="576"/>
        <w:jc w:val="left"/>
      </w:pPr>
      <w:r>
        <w:rPr>
          <w:u w:val="single"/>
        </w:rPr>
        <w:t xml:space="preserve">(vi) Address the risks in each geographic region of the state with appropriate scope, scale, and urgency.</w:t>
      </w:r>
    </w:p>
    <w:p>
      <w:pPr>
        <w:spacing w:before="0" w:after="0" w:line="408" w:lineRule="exact"/>
        <w:ind w:left="0" w:right="0" w:firstLine="576"/>
        <w:jc w:val="left"/>
      </w:pPr>
      <w:r>
        <w:rPr>
          <w:u w:val="single"/>
        </w:rPr>
        <w:t xml:space="preserve">(3) By September 30,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extent allowed under existing statutory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must develop an interagency work group structure and may leverage any existing forums such as the interagency, multijurisdictional system improvement team established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September 30, 2024, the department of ecology shall provide the estimated state agency costs for implementing the updated climate response strategy, including existing programs and new recommended actions, to the governor and appropriate committees of the legislature. Estimated state agency costs should be projected over two, four, and 10-year time frames.</w:t>
      </w:r>
    </w:p>
    <w:p>
      <w:pPr>
        <w:spacing w:before="0" w:after="0" w:line="408" w:lineRule="exact"/>
        <w:ind w:left="0" w:right="0" w:firstLine="576"/>
        <w:jc w:val="left"/>
      </w:pPr>
      <w:r>
        <w:rPr/>
        <w:t xml:space="preserve">(2) The department of ecology shall track funding appropriated by the legislature for implementing the strategy and include this information as part of reporting to the governor's office on odd-numbered years starting in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creates any new or additional regulatory authority for any state agency.</w:t>
      </w:r>
    </w:p>
    <w:p/>
    <w:p>
      <w:pPr>
        <w:jc w:val="center"/>
      </w:pPr>
      <w:r>
        <w:rPr>
          <w:b/>
        </w:rPr>
        <w:t>--- END ---</w:t>
      </w:r>
    </w:p>
    <w:sectPr>
      <w:pgNumType w:start="1"/>
      <w:footerReference xmlns:r="http://schemas.openxmlformats.org/officeDocument/2006/relationships" r:id="R964576905cde49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a11e913944043" /><Relationship Type="http://schemas.openxmlformats.org/officeDocument/2006/relationships/footer" Target="/word/footer1.xml" Id="R964576905cde49b5" /></Relationships>
</file>