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69614a4274a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1187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Hackney, Berry, Bateman, Ramel, Doglio, Simmons, Lekanoff, Bronoske, Wylie, Stonier, Pollet, and Ormsby)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between employees and the unions that represent them; reenacting and amending RCW 5.60.060; adding a new section to chapter 28B.52 RCW; adding a new section to chapter 41.56 RCW; adding a new section to chapter 41.59 RCW; adding a new section to chapter 41.76 RCW; adding a new section to chapter 41.80 RCW; adding a new section to chapter 47.64 RCW; adding a new section to chapter 49.36 RCW; adding a new section to chapter 53.18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Labor unions have fiduciary duties to act on behalf of the employees they represent in regard to employment relations with public-sector and private-sector employers, including personnel matters, grievances, labor disputes, wages, rates of pay, hours of employment, conditions of work, and collective bargaining.</w:t>
      </w:r>
    </w:p>
    <w:p>
      <w:pPr>
        <w:spacing w:before="0" w:after="0" w:line="408" w:lineRule="exact"/>
        <w:ind w:left="0" w:right="0" w:firstLine="576"/>
        <w:jc w:val="left"/>
      </w:pPr>
      <w:r>
        <w:rPr/>
        <w:t xml:space="preserve">(2) The discharge of those duties fosters industrial peace, human dignity, and the continued improvement of the employment relationship, with benefits to employees, employers, and the general public.</w:t>
      </w:r>
    </w:p>
    <w:p>
      <w:pPr>
        <w:spacing w:before="0" w:after="0" w:line="408" w:lineRule="exact"/>
        <w:ind w:left="0" w:right="0" w:firstLine="576"/>
        <w:jc w:val="left"/>
      </w:pPr>
      <w:r>
        <w:rPr/>
        <w:t xml:space="preserve">(3) The effective discharge of those duties depends on employees' confidence that their confidential communications with their union representatives in the course of union representation will be protected against disclosure, and that unions' internal deliberations concerning their representational duties be protected against disclosure so that unions may engage in the balancing that is necessary to carry out their duty to all members.</w:t>
      </w:r>
    </w:p>
    <w:p>
      <w:pPr>
        <w:spacing w:before="0" w:after="0" w:line="408" w:lineRule="exact"/>
        <w:ind w:left="0" w:right="0" w:firstLine="576"/>
        <w:jc w:val="left"/>
      </w:pPr>
      <w:r>
        <w:rPr/>
        <w:t xml:space="preserve">(4) To effectuate the public policy favoring effective collective bargaining, it is necessary to protect confidential union–employee communications in the course of union representation against disclosure, except in the rare circumstances where disclosure appears necessary to prevent injury from a crime or when legal claims are brought in formal proceedings against unions. The creation of a union–employee privilege is accordingly in the best interests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2020 c 302 s 113 and 2020 c 42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peer support group client making the communication, be compelled to testify about any communication made to the counselor by the peer support group client while receiving counseling. The counselor must be designated as such by the agency employing the peer support group client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department of corrections staff person, or jail staff person; a witness; or a party to the incident which prompted the delivery of peer support group counseling services to the peer support group client.</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group client"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support group counselor" means:</w:t>
      </w:r>
    </w:p>
    <w:p>
      <w:pPr>
        <w:spacing w:before="0" w:after="0" w:line="408" w:lineRule="exact"/>
        <w:ind w:left="0" w:right="0" w:firstLine="576"/>
        <w:jc w:val="left"/>
      </w:pPr>
      <w:r>
        <w:rPr/>
        <w:t xml:space="preserve">(A) A first responder, department of corrections staff person, or jail staff person or a civilian employee of a first responder entity or agency, local jail, or state agency who has received training to provide emotional and moral support and counseling to a peer support group client who needs those services as a result of an incident in which the peer support group client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group client who needs those services as a result of an incident in which the peer support group client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u w:val="single"/>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u w:val="single"/>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u w:val="single"/>
        </w:rPr>
        <w:t xml:space="preserve">(ii) In actions, civil or criminal, in which the represented employee is accused of a crime or assault or battery;</w:t>
      </w:r>
    </w:p>
    <w:p>
      <w:pPr>
        <w:spacing w:before="0" w:after="0" w:line="408" w:lineRule="exact"/>
        <w:ind w:left="0" w:right="0" w:firstLine="576"/>
        <w:jc w:val="left"/>
      </w:pPr>
      <w:r>
        <w:rPr>
          <w:u w:val="single"/>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u w:val="single"/>
        </w:rPr>
        <w:t xml:space="preserve">(iv) In actions, regulatory, civil, or criminal, against the union or its affiliated, subordinate, or parent bodies or their agents; or</w:t>
      </w:r>
    </w:p>
    <w:p>
      <w:pPr>
        <w:spacing w:before="0" w:after="0" w:line="408" w:lineRule="exact"/>
        <w:ind w:left="0" w:right="0" w:firstLine="576"/>
        <w:jc w:val="left"/>
      </w:pPr>
      <w:r>
        <w:rPr>
          <w:u w:val="single"/>
        </w:rPr>
        <w:t xml:space="preserve">(v) When an admission of, or intent to engage in, criminal conduct is revealed by the represented union member to the union representative</w:t>
      </w:r>
      <w:r>
        <w:rPr>
          <w:u w:val="single"/>
        </w:rPr>
        <w:t xml:space="preserve">.</w:t>
      </w:r>
    </w:p>
    <w:p>
      <w:pPr>
        <w:spacing w:before="0" w:after="0" w:line="408" w:lineRule="exact"/>
        <w:ind w:left="0" w:right="0" w:firstLine="576"/>
        <w:jc w:val="left"/>
      </w:pPr>
      <w:r>
        <w:rPr>
          <w:u w:val="single"/>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u w:val="single"/>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u w:val="single"/>
        </w:rPr>
        <w:t xml:space="preserve">(d) For purposes of this subsection:</w:t>
      </w:r>
    </w:p>
    <w:p>
      <w:pPr>
        <w:spacing w:before="0" w:after="0" w:line="408" w:lineRule="exact"/>
        <w:ind w:left="0" w:right="0" w:firstLine="576"/>
        <w:jc w:val="left"/>
      </w:pPr>
      <w:r>
        <w:rPr>
          <w:u w:val="single"/>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u w:val="single"/>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u w:val="single"/>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u w:val="single"/>
        </w:rPr>
        <w:t xml:space="preserve">(iv) "Union representative" means a person authorized by a union to act for the union in regard to union representation.</w:t>
      </w:r>
    </w:p>
    <w:p>
      <w:pPr>
        <w:spacing w:before="0" w:after="0" w:line="408" w:lineRule="exact"/>
        <w:ind w:left="0" w:right="0" w:firstLine="576"/>
        <w:jc w:val="left"/>
      </w:pPr>
      <w:r>
        <w:rPr>
          <w:u w:val="single"/>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collective bargaining representatives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labor unions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
      <w:pPr>
        <w:jc w:val="center"/>
      </w:pPr>
      <w:r>
        <w:rPr>
          <w:b/>
        </w:rPr>
        <w:t>--- END ---</w:t>
      </w:r>
    </w:p>
    <w:sectPr>
      <w:pgNumType w:start="1"/>
      <w:footerReference xmlns:r="http://schemas.openxmlformats.org/officeDocument/2006/relationships" r:id="Ra590b0e8510d48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463425ea24135" /><Relationship Type="http://schemas.openxmlformats.org/officeDocument/2006/relationships/footer" Target="/word/footer1.xml" Id="Ra590b0e8510d4861" /></Relationships>
</file>