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a34a0ef9e48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1222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88</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Orwall, Simmons, Reeves, Reed, Leavitt, Kloba, Farivar, Doglio, Morgan, Slatter, Ramel, Goodman, Callan, Fosse, Pollet, Lekanoff, and Macri)</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amending RCW 41.05.830; adding a new section to chapter 48.43 RCW; adding a new section to chapter 41.05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 services in this subsection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shall provide coverage for hearing instruments as provided in subsection (1) of this section at no less than $3,000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830</w:t>
      </w:r>
      <w:r>
        <w:rPr/>
        <w:t xml:space="preserve"> and 2018 c 159 s 1 are each amended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2019,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hearing aid specialist, or a licensed physician or osteopathic physician who specializes in otolaryngology and dispensed by a licensed audiologist, hearing aid specialist, or a licensed physician or osteopathic physician who specializes in otolaryngology.</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0" w:after="0" w:line="408" w:lineRule="exact"/>
        <w:ind w:left="0" w:right="0" w:firstLine="576"/>
        <w:jc w:val="left"/>
      </w:pPr>
      <w:r>
        <w:rPr>
          <w:u w:val="single"/>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issued or renewed on or after January 1, 2024, is subject to section 1 of this act.</w:t>
      </w:r>
    </w:p>
    <w:p/>
    <w:p>
      <w:pPr>
        <w:jc w:val="center"/>
      </w:pPr>
      <w:r>
        <w:rPr>
          <w:b/>
        </w:rPr>
        <w:t>--- END ---</w:t>
      </w:r>
    </w:p>
    <w:sectPr>
      <w:pgNumType w:start="1"/>
      <w:footerReference xmlns:r="http://schemas.openxmlformats.org/officeDocument/2006/relationships" r:id="R621314bf901840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6ac49d877e4f89" /><Relationship Type="http://schemas.openxmlformats.org/officeDocument/2006/relationships/footer" Target="/word/footer1.xml" Id="R621314bf901840c3" /></Relationships>
</file>