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ecea95ac34b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Santos, Corry, and Reeves)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email by the office of the insurance commissioner when communicating with licensees; amending RCW 48.17.170, 48.17.450, 48.17.475, and 48.15.103; adding a new section to chapter 48.02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w:t>
      </w:r>
      <w:r>
        <w:t>((</w:t>
      </w:r>
      <w:r>
        <w:rPr>
          <w:strike/>
        </w:rPr>
        <w:t xml:space="preserve">fifteen</w:t>
      </w:r>
      <w:r>
        <w:t>))</w:t>
      </w:r>
      <w:r>
        <w:rPr/>
        <w:t xml:space="preserve"> </w:t>
      </w:r>
      <w:r>
        <w:rPr>
          <w:u w:val="single"/>
        </w:rPr>
        <w:t xml:space="preserve">15</w:t>
      </w:r>
      <w:r>
        <w:rPr/>
        <w:t xml:space="preserve">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fifty</w:t>
      </w:r>
      <w:r>
        <w:t>))</w:t>
      </w:r>
      <w:r>
        <w:rPr/>
        <w:t xml:space="preserve"> </w:t>
      </w:r>
      <w:r>
        <w:rPr>
          <w:u w:val="single"/>
        </w:rPr>
        <w:t xml:space="preserve">50</w:t>
      </w:r>
      <w:r>
        <w:rPr/>
        <w:t xml:space="preserve"> percent of the renewal fee;</w:t>
      </w:r>
    </w:p>
    <w:p>
      <w:pPr>
        <w:spacing w:before="0" w:after="0" w:line="408" w:lineRule="exact"/>
        <w:ind w:left="0" w:right="0" w:firstLine="576"/>
        <w:jc w:val="left"/>
      </w:pPr>
      <w:r>
        <w:rPr/>
        <w:t xml:space="preserve">(b) For the next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one hundred</w:t>
      </w:r>
      <w:r>
        <w:t>))</w:t>
      </w:r>
      <w:r>
        <w:rPr/>
        <w:t xml:space="preserve"> </w:t>
      </w:r>
      <w:r>
        <w:rPr>
          <w:u w:val="single"/>
        </w:rPr>
        <w:t xml:space="preserve">100</w:t>
      </w:r>
      <w:r>
        <w:rPr/>
        <w:t xml:space="preserve">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w:t>
      </w:r>
      <w:r>
        <w:t>((</w:t>
      </w:r>
      <w:r>
        <w:rPr>
          <w:strike/>
        </w:rPr>
        <w:t xml:space="preserve">sixty</w:t>
      </w:r>
      <w:r>
        <w:t>))</w:t>
      </w:r>
      <w:r>
        <w:rPr/>
        <w:t xml:space="preserve"> </w:t>
      </w:r>
      <w:r>
        <w:rPr>
          <w:u w:val="single"/>
        </w:rPr>
        <w:t xml:space="preserve">60</w:t>
      </w:r>
      <w:r>
        <w:rPr/>
        <w:t xml:space="preserve"> days but prior to </w:t>
      </w:r>
      <w:r>
        <w:t>((</w:t>
      </w:r>
      <w:r>
        <w:rPr>
          <w:strike/>
        </w:rPr>
        <w:t xml:space="preserve">twelve</w:t>
      </w:r>
      <w:r>
        <w:t>))</w:t>
      </w:r>
      <w:r>
        <w:rPr/>
        <w:t xml:space="preserve"> </w:t>
      </w:r>
      <w:r>
        <w:rPr>
          <w:u w:val="single"/>
        </w:rPr>
        <w:t xml:space="preserve">12</w:t>
      </w:r>
      <w:r>
        <w:rPr/>
        <w:t xml:space="preserve"> months after the expiration date, the application is for reinstatement of the license and the applicant for reinstatement must pay to the commissioner the license fee and a surcharge of </w:t>
      </w:r>
      <w:r>
        <w:t>((</w:t>
      </w:r>
      <w:r>
        <w:rPr>
          <w:strike/>
        </w:rPr>
        <w:t xml:space="preserve">two hundred</w:t>
      </w:r>
      <w:r>
        <w:t>))</w:t>
      </w:r>
      <w:r>
        <w:rPr/>
        <w:t xml:space="preserve"> </w:t>
      </w:r>
      <w:r>
        <w:rPr>
          <w:u w:val="single"/>
        </w:rPr>
        <w:t xml:space="preserve">200</w:t>
      </w:r>
      <w:r>
        <w:rPr/>
        <w:t xml:space="preserve">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w:t>
      </w:r>
      <w:r>
        <w:t>((</w:t>
      </w:r>
      <w:r>
        <w:rPr>
          <w:strike/>
        </w:rPr>
        <w:t xml:space="preserve">twelve</w:t>
      </w:r>
      <w:r>
        <w:t>))</w:t>
      </w:r>
      <w:r>
        <w:rPr/>
        <w:t xml:space="preserve"> </w:t>
      </w:r>
      <w:r>
        <w:rPr>
          <w:u w:val="single"/>
        </w:rPr>
        <w:t xml:space="preserve">12</w:t>
      </w:r>
      <w:r>
        <w:rPr/>
        <w:t xml:space="preser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t>
      </w:r>
      <w:r>
        <w:rPr>
          <w:u w:val="single"/>
        </w:rPr>
        <w:t xml:space="preserve">and email address</w:t>
      </w:r>
      <w:r>
        <w:rPr/>
        <w:t xml:space="preserve"> within </w:t>
      </w:r>
      <w:r>
        <w:t>((</w:t>
      </w:r>
      <w:r>
        <w:rPr>
          <w:strike/>
        </w:rPr>
        <w:t xml:space="preserve">thirty</w:t>
      </w:r>
      <w:r>
        <w:t>))</w:t>
      </w:r>
      <w:r>
        <w:rPr/>
        <w:t xml:space="preserve"> </w:t>
      </w:r>
      <w:r>
        <w:rPr>
          <w:u w:val="single"/>
        </w:rPr>
        <w:t xml:space="preserve">30</w:t>
      </w:r>
      <w:r>
        <w:rPr/>
        <w:t xml:space="preserve"> days of the change. Failure to timely inform the commissioner of a change in legal name </w:t>
      </w:r>
      <w:r>
        <w:t>((</w:t>
      </w:r>
      <w:r>
        <w:rPr>
          <w:strike/>
        </w:rPr>
        <w:t xml:space="preserve">or</w:t>
      </w:r>
      <w:r>
        <w:t>))</w:t>
      </w:r>
      <w:r>
        <w:rPr>
          <w:u w:val="single"/>
        </w:rPr>
        <w:t xml:space="preserve">,</w:t>
      </w:r>
      <w:r>
        <w:rPr/>
        <w:t xml:space="preserve"> address</w:t>
      </w:r>
      <w:r>
        <w:rPr>
          <w:u w:val="single"/>
        </w:rPr>
        <w:t xml:space="preserve">, or email address,</w:t>
      </w:r>
      <w:r>
        <w:rPr/>
        <w:t xml:space="preserve"> may result in a penalty under either RCW 48.17.530 or 48.17.560,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450</w:t>
      </w:r>
      <w:r>
        <w:rPr/>
        <w:t xml:space="preserve"> and 2007 c 117 s 22 are each amended to read as follows:</w:t>
      </w:r>
    </w:p>
    <w:p>
      <w:pPr>
        <w:spacing w:before="0" w:after="0" w:line="408" w:lineRule="exact"/>
        <w:ind w:left="0" w:right="0" w:firstLine="576"/>
        <w:jc w:val="left"/>
      </w:pPr>
      <w:r>
        <w:rPr/>
        <w:t xml:space="preserve">(1) Every licensed insurance producer, title insurance agent, and adjuster, other than an insurance producer licensed for life or disability insurances only, shall have and maintain in this state, or, if a nonresident insurance producer or title insurance agent, in this state or in the state of the licensee's domicile, a place of business accessible to the public. Such place of business shall be that wherein the insurance producer or title insurance agent principally conducts transactions under that person's licenses. A licensee maintaining more than one place of business in this state shall obtain a duplicate license or licenses for each additional such place, and shall pay the full fee therefor.</w:t>
      </w:r>
    </w:p>
    <w:p>
      <w:pPr>
        <w:spacing w:before="0" w:after="0" w:line="408" w:lineRule="exact"/>
        <w:ind w:left="0" w:right="0" w:firstLine="576"/>
        <w:jc w:val="left"/>
      </w:pPr>
      <w:r>
        <w:rPr/>
        <w:t xml:space="preserve">(2) Any notice, order, or written communication</w:t>
      </w:r>
      <w:r>
        <w:rPr>
          <w:u w:val="single"/>
        </w:rPr>
        <w:t xml:space="preserve">, including any notification of investigation; notification of audit and findings resulting from such audit; or written communication from the commissioner under RCW 48.17.475(2)(c)(ii),</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rPr>
          <w:u w:val="single"/>
        </w:rPr>
        <w:t xml:space="preserve">(3) Every insurance producer, title insurance agent, adjuster, and other person licensed under this chapter shall provide the commissioner with a current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(2)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RCW 48.17.475(2)(b) are met prior to the commissioner sending the email.</w:t>
      </w:r>
    </w:p>
    <w:p>
      <w:pPr>
        <w:spacing w:before="0" w:after="0" w:line="408" w:lineRule="exact"/>
        <w:ind w:left="0" w:right="0" w:firstLine="576"/>
        <w:jc w:val="left"/>
      </w:pPr>
      <w:r>
        <w:rPr>
          <w:u w:val="single"/>
        </w:rPr>
        <w:t xml:space="preserve">(4) Email communication sent to an applicant prior to the issuance of a license, and auto-generated system emails regarding a license application or license renewal processes, are excluded from the requirements of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475</w:t>
      </w:r>
      <w:r>
        <w:rPr/>
        <w:t xml:space="preserve"> and 2007 c 117 s 25 are each amended to read as follows:</w:t>
      </w:r>
    </w:p>
    <w:p>
      <w:pPr>
        <w:spacing w:before="0" w:after="0" w:line="408" w:lineRule="exact"/>
        <w:ind w:left="0" w:right="0" w:firstLine="576"/>
        <w:jc w:val="left"/>
      </w:pPr>
      <w:r>
        <w:rPr>
          <w:u w:val="single"/>
        </w:rPr>
        <w:t xml:space="preserve">(1)</w:t>
      </w:r>
      <w:r>
        <w:rPr/>
        <w:t xml:space="preserve"> Every insurance producer, title insurance agent, adjuster,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a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either RCW 48.17.530 or 48.17.560, or both.</w:t>
      </w:r>
    </w:p>
    <w:p>
      <w:pPr>
        <w:spacing w:before="0" w:after="0" w:line="408" w:lineRule="exact"/>
        <w:ind w:left="0" w:right="0" w:firstLine="576"/>
        <w:jc w:val="left"/>
      </w:pPr>
      <w:r>
        <w:rPr>
          <w:u w:val="single"/>
        </w:rPr>
        <w:t xml:space="preserve">(2)(a) Every insurance producer, title insurance agent, adjuster, and other person licensed under this chapter shall timely respond in writing to an inquiry of the commissioner sent to a person's email address relative to the business of insurance. A timely response is one that is received by the commissioner within 15 business days from receipt of the inquiry. Failure to make a timely response constitutes a violation of this subsection if the requirements under (c) of this subsection are met.</w:t>
      </w:r>
    </w:p>
    <w:p>
      <w:pPr>
        <w:spacing w:before="0" w:after="0" w:line="408" w:lineRule="exact"/>
        <w:ind w:left="0" w:right="0" w:firstLine="576"/>
        <w:jc w:val="left"/>
      </w:pPr>
      <w:r>
        <w:rPr>
          <w:u w:val="single"/>
        </w:rPr>
        <w:t xml:space="preserve">(b)(i) When an email from the commissioner requires a response,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48.17.475 AND IS SUBJECT TO PENALTIES UNDER RCW 48.17.530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in violation of this subsection only if: (i) The commissioner complies with the requirements under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103</w:t>
      </w:r>
      <w:r>
        <w:rPr/>
        <w:t xml:space="preserve"> and 2009 c 162 s 6 are each amended to read as follows:</w:t>
      </w:r>
    </w:p>
    <w:p>
      <w:pPr>
        <w:spacing w:before="0" w:after="0" w:line="408" w:lineRule="exact"/>
        <w:ind w:left="0" w:right="0" w:firstLine="576"/>
        <w:jc w:val="left"/>
      </w:pPr>
      <w:r>
        <w:rPr/>
        <w:t xml:space="preserve">(1) A surplus line broker doing business under any name other than the surplus line broker's legal name is required to register the name in accordance with chapter 19.80 RCW and notify the commissioner before using the assumed name.</w:t>
      </w:r>
    </w:p>
    <w:p>
      <w:pPr>
        <w:spacing w:before="0" w:after="0" w:line="408" w:lineRule="exact"/>
        <w:ind w:left="0" w:right="0" w:firstLine="576"/>
        <w:jc w:val="left"/>
      </w:pPr>
      <w:r>
        <w:rPr/>
        <w:t xml:space="preserve">(2) Every licensed surplus line broker shall have and maintain in this state, or, if a nonresident surplus line broker, in this state or in the state of the licensee's domicile, a place of business accessible to the public. The place of business is where the surplus line broker principally conducts transactions under that person's license. A licensee maintaining more than one place of business in this state shall obtain a duplicate license or licenses for each additional place, and shall pay the full fee therefor.</w:t>
      </w:r>
    </w:p>
    <w:p>
      <w:pPr>
        <w:spacing w:before="0" w:after="0" w:line="408" w:lineRule="exact"/>
        <w:ind w:left="0" w:right="0" w:firstLine="576"/>
        <w:jc w:val="left"/>
      </w:pPr>
      <w:r>
        <w:rPr/>
        <w:t xml:space="preserve">(3) </w:t>
      </w:r>
      <w:r>
        <w:rPr>
          <w:u w:val="single"/>
        </w:rPr>
        <w:t xml:space="preserve">Every licensed surplus line broker and other person licensed under this chapter shall provide the commissioner with a current email address and update the commissioner within 30 days of any change in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(4)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subsection (8)(b) of this section are met prior to the commissioner sending the email.</w:t>
      </w:r>
    </w:p>
    <w:p>
      <w:pPr>
        <w:spacing w:before="0" w:after="0" w:line="408" w:lineRule="exact"/>
        <w:ind w:left="0" w:right="0" w:firstLine="576"/>
        <w:jc w:val="left"/>
      </w:pPr>
      <w:r>
        <w:rPr>
          <w:u w:val="single"/>
        </w:rPr>
        <w:t xml:space="preserve">(4)</w:t>
      </w:r>
      <w:r>
        <w:rPr/>
        <w:t xml:space="preserve"> Any notice, order, or written communication</w:t>
      </w:r>
      <w:r>
        <w:rPr>
          <w:u w:val="single"/>
        </w:rPr>
        <w:t xml:space="preserve">, including any notification of investigation; notification of audit and findings resulting from such audit; or written communication from the commissioner under subsection (8)(c)(ii) of this section,</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license or licenses of each surplus line broker shall be displayed in a conspicuous place in that part of the place of business which is customarily open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surplus line broker is dealing directly with the insured in any capacity, the surplus line broker must comply with the disclosure requirements contained in RCW 48.17.270.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Every surplus line broker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the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RCW 48.17.530 or 48.17.560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A surplus line broker or other person licensed under this chapter shall timely respond in writing to an inquiry of the commissioner sent to the person's email address relative to the business of insurance. A timely response is one that is received by the commissioner within 15 business days from receipt of the inquiry. Failure to make a timely response constitutes a violation of this subsection if the requirements of (c) of this subsection are met.</w:t>
      </w:r>
    </w:p>
    <w:p>
      <w:pPr>
        <w:spacing w:before="0" w:after="0" w:line="408" w:lineRule="exact"/>
        <w:ind w:left="0" w:right="0" w:firstLine="576"/>
        <w:jc w:val="left"/>
      </w:pPr>
      <w:r>
        <w:rPr>
          <w:u w:val="single"/>
        </w:rPr>
        <w:t xml:space="preserve">(b)(i) When an email from the commissioner requires a response in accordance with this subsection,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48.15.103 AND IS SUBJECT TO PENALTIES UNDER RCW 48.15.140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only in violation of this section if: (i) The commissioner complies with the requirements in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p>
    <w:p>
      <w:pPr>
        <w:spacing w:before="0" w:after="0" w:line="408" w:lineRule="exact"/>
        <w:ind w:left="0" w:right="0" w:firstLine="576"/>
        <w:jc w:val="left"/>
      </w:pPr>
      <w:r>
        <w:rPr>
          <w:u w:val="single"/>
        </w:rPr>
        <w:t xml:space="preserve">(9) Email communication sent to an applicant prior to the issuance of a license, and auto-generated system emails regarding a license application or license renewal processes, are excluded from the requirements of subsection (8) of this section.</w:t>
      </w:r>
    </w:p>
    <w:p>
      <w:pPr>
        <w:spacing w:before="0" w:after="0" w:line="408" w:lineRule="exact"/>
        <w:ind w:left="0" w:right="0" w:firstLine="576"/>
        <w:jc w:val="left"/>
      </w:pPr>
      <w:r>
        <w:rPr>
          <w:u w:val="single"/>
        </w:rPr>
        <w:t xml:space="preserve">(10)</w:t>
      </w:r>
      <w:r>
        <w:rPr/>
        <w:t xml:space="preserve"> A surplus line broker shall report to the commissioner any administrative action taken against the surplus line broker in another jurisdiction or by another governmental agency in this state within </w:t>
      </w:r>
      <w:r>
        <w:t>((</w:t>
      </w:r>
      <w:r>
        <w:rPr>
          <w:strike/>
        </w:rPr>
        <w:t xml:space="preserve">thirty</w:t>
      </w:r>
      <w:r>
        <w:t>))</w:t>
      </w:r>
      <w:r>
        <w:rPr/>
        <w:t xml:space="preserve"> </w:t>
      </w:r>
      <w:r>
        <w:rPr>
          <w:u w:val="single"/>
        </w:rPr>
        <w:t xml:space="preserve">30</w:t>
      </w:r>
      <w:r>
        <w:rPr/>
        <w:t xml:space="preserve"> days of the final disposition of the matter. This report must include a copy of the order, consent to order, or other relevant legal documents.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Within </w:t>
      </w:r>
      <w:r>
        <w:t>((</w:t>
      </w:r>
      <w:r>
        <w:rPr>
          <w:strike/>
        </w:rPr>
        <w:t xml:space="preserve">thirty</w:t>
      </w:r>
      <w:r>
        <w:t>))</w:t>
      </w:r>
      <w:r>
        <w:rPr/>
        <w:t xml:space="preserve"> </w:t>
      </w:r>
      <w:r>
        <w:rPr>
          <w:u w:val="single"/>
        </w:rPr>
        <w:t xml:space="preserve">30</w:t>
      </w:r>
      <w:r>
        <w:rPr/>
        <w:t xml:space="preserve"> days of the initial pretrial hearing date, a surplus line broker shall report to the commissioner any criminal prosecution of the surplus line broker taken in any jurisdiction. The report must include a copy of the initial complaint filed, the order resulting from the hearing, and any other relevant legal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develop and implement a process for an affected licensee to petition the commissioner for the removal of any disciplinary investigations and orders on the affected licensee's public disciplinary record related solely to an email-based violation of RCW 48.15.103 or 48.17.475 as those sections existed prior to July 1, 2023. An affected licensee who petitions the commissioner shall provide documentation demonstrating that the disciplinary investigations and orders on the affected licensee's record were solely the result of an email-based violation of RCW 48.15.103 or 48.17.475 as those sections existed prior to July 1, 2023. Upon receipt of a petition with appropriate documentation, the commissioner shall immediately:</w:t>
      </w:r>
    </w:p>
    <w:p>
      <w:pPr>
        <w:spacing w:before="0" w:after="0" w:line="408" w:lineRule="exact"/>
        <w:ind w:left="0" w:right="0" w:firstLine="576"/>
        <w:jc w:val="left"/>
      </w:pPr>
      <w:r>
        <w:rPr/>
        <w:t xml:space="preserve">(a) Remove any related disciplinary investigations and orders from the affected licensee's public disciplinary record;</w:t>
      </w:r>
    </w:p>
    <w:p>
      <w:pPr>
        <w:spacing w:before="0" w:after="0" w:line="408" w:lineRule="exact"/>
        <w:ind w:left="0" w:right="0" w:firstLine="576"/>
        <w:jc w:val="left"/>
      </w:pPr>
      <w:r>
        <w:rPr/>
        <w:t xml:space="preserve">(b) Send a notice to the national insurance producer registry that the commissioner erroneously took administrative action against the affected licensee and request that the national insurance producer registry expunge any related record of the administrative action from the affected licensee's history; and</w:t>
      </w:r>
    </w:p>
    <w:p>
      <w:pPr>
        <w:spacing w:before="0" w:after="0" w:line="408" w:lineRule="exact"/>
        <w:ind w:left="0" w:right="0" w:firstLine="576"/>
        <w:jc w:val="left"/>
      </w:pPr>
      <w:r>
        <w:rPr/>
        <w:t xml:space="preserve">(c) Send to the affected licensee, by certified mail, a copy of the commissioner's notice to the national insurance producer registry.</w:t>
      </w:r>
    </w:p>
    <w:p>
      <w:pPr>
        <w:spacing w:before="0" w:after="0" w:line="408" w:lineRule="exact"/>
        <w:ind w:left="0" w:right="0" w:firstLine="576"/>
        <w:jc w:val="left"/>
      </w:pPr>
      <w:r>
        <w:rPr/>
        <w:t xml:space="preserve">(2) The commissioner shall identify the amount of money collected as fines from each affected licensee solely for email-based violations of RCW 48.15.103 or 48.17.475 as those sections existed prior to July 1, 2023, and, as soon as practicable, refund such money to each affected licensee from the existing operating budget for the commissioner's office.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"Affected licensee" means any licensee regulated by the commissioner who was penalized by the commissioner solely for an email-based violation of RCW 48.15.103 or 48.17.475 as those sections existed prior to July 1, 2023.</w:t>
      </w:r>
    </w:p>
    <w:p>
      <w:pPr>
        <w:spacing w:before="0" w:after="0" w:line="408" w:lineRule="exact"/>
        <w:ind w:left="0" w:right="0" w:firstLine="576"/>
        <w:jc w:val="left"/>
      </w:pPr>
      <w:r>
        <w:rPr/>
        <w:t xml:space="preserve">(b) "Email-based violation" means a violation solely of RCW 48.15.103 or 48.17.475, as those sections existed prior to July 1, 2023, resulting from an affected licensee's failure to provide a timely response to an inquiry of the commissioner where such inquiry was only sent to the affected licensee by email. A violation of RCW 48.17.475 or 48.15.103 that is connected to a different violation of any insurance laws or rules is not an email-based violation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0a20c1a74e047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b479f677e4b4b" /><Relationship Type="http://schemas.openxmlformats.org/officeDocument/2006/relationships/footer" Target="/word/footer1.xml" Id="R70a20c1a74e0471e" /></Relationships>
</file>