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58b99903a94c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85</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Bergquist, Volz, Reeves, Gregerson, Christian, Riccelli, and Schmidt)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formatting, and distribution of the state and local voters' pamphlets; amending RCW 29A.32.010, 29A.32.020, 29A.32.031, 29A.32.060, 29A.32.070, 29A.32.121, 29A.32.210, 29A.32.220, 29A.32.241, 29A.32.250, 29A.32.260, and 29A.32.280;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2023 c 109 s 2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is unable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no person in the jurisdiction contacted the auditor to provide a statement,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a4853cc7a933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4f24e1eeb40dc" /><Relationship Type="http://schemas.openxmlformats.org/officeDocument/2006/relationships/footer" Target="/word/footer1.xml" Id="Ra4853cc7a933426e" /></Relationships>
</file>