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0feebcd8da42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1275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2023</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1275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1275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Thai, Harris, and Riccelli)</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athletic trainers; and amending RCW 18.250.010 and 18.250.110.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2020 c 80 s 25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w:t>
      </w:r>
      <w:r>
        <w:rPr>
          <w:u w:val="single"/>
        </w:rPr>
        <w:t xml:space="preserve">activities,</w:t>
      </w:r>
      <w:r>
        <w:rPr/>
        <w:t xml:space="preserve"> sport, or games requiring physical strength, range</w:t>
      </w:r>
      <w:r>
        <w:rPr/>
        <w:noBreakHyphen/>
      </w:r>
      <w:r>
        <w:rPr/>
        <w:t xml:space="preserve">of</w:t>
      </w:r>
      <w:r>
        <w:rPr/>
        <w:noBreakHyphen/>
      </w:r>
      <w:r>
        <w:rPr/>
        <w:t xml:space="preserve">motion, flexibility, body awareness and control, speed, stamina, or agility, and the exercise, recreation, </w:t>
      </w:r>
      <w:r>
        <w:rPr>
          <w:u w:val="single"/>
        </w:rPr>
        <w:t xml:space="preserve">activities,</w:t>
      </w:r>
      <w:r>
        <w:rPr/>
        <w:t xml:space="preserve"> sports, or games are of a type conducted </w:t>
      </w:r>
      <w:r>
        <w:rPr>
          <w:u w:val="single"/>
        </w:rPr>
        <w:t xml:space="preserve">for the benefits of health and wellness</w:t>
      </w:r>
      <w:r>
        <w:rPr/>
        <w:t xml:space="preserve"> in association with an educational institution or professional, amateur, </w:t>
      </w:r>
      <w:r>
        <w:t>((</w:t>
      </w:r>
      <w:r>
        <w:rPr>
          <w:strike/>
        </w:rPr>
        <w:t xml:space="preserve">or</w:t>
      </w:r>
      <w:r>
        <w:t>))</w:t>
      </w:r>
      <w:r>
        <w:rPr/>
        <w:t xml:space="preserve"> recreational sports club or organization</w:t>
      </w:r>
      <w:r>
        <w:rPr>
          <w:u w:val="single"/>
        </w:rPr>
        <w:t xml:space="preserve">, hospital, or industrial-based organization</w:t>
      </w:r>
      <w:r>
        <w:rPr/>
        <w:t xml:space="preserve">.</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w:t>
      </w:r>
      <w:r>
        <w:rPr>
          <w:u w:val="single"/>
        </w:rPr>
        <w:t xml:space="preserve">activities,</w:t>
      </w:r>
      <w:r>
        <w:rPr/>
        <w:t xml:space="preserve">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w:t>
      </w:r>
      <w:r>
        <w:t>((</w:t>
      </w:r>
      <w:r>
        <w:rPr>
          <w:strike/>
        </w:rPr>
        <w:t xml:space="preserve">person</w:t>
      </w:r>
      <w:r>
        <w:t>))</w:t>
      </w:r>
      <w:r>
        <w:rPr/>
        <w:t xml:space="preserve"> </w:t>
      </w:r>
      <w:r>
        <w:rPr>
          <w:u w:val="single"/>
        </w:rPr>
        <w:t xml:space="preserve">health care provider</w:t>
      </w:r>
      <w:r>
        <w:rPr/>
        <w:t xml:space="preserve"> who is licensed under this chapter. An athletic trainer can practice athletic training through the consultation, referral, or guidelines of a licensed health care provider </w:t>
      </w:r>
      <w:r>
        <w:rPr>
          <w:u w:val="single"/>
        </w:rPr>
        <w:t xml:space="preserve">as defined in subsection (7) of this section</w:t>
      </w:r>
      <w:r>
        <w:rPr/>
        <w:t xml:space="preserve">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acupuncture and Eastern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advanced registered nurse practitioner, naturopath, physical therapist, chiropractor, dentist, massage therapist,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110</w:t>
      </w:r>
      <w:r>
        <w:rPr/>
        <w:t xml:space="preserve"> and 2019 c 358 s 3 are each amended to read as follows:</w:t>
      </w:r>
    </w:p>
    <w:p>
      <w:pPr>
        <w:spacing w:before="0" w:after="0" w:line="408" w:lineRule="exact"/>
        <w:ind w:left="0" w:right="0" w:firstLine="576"/>
        <w:jc w:val="left"/>
      </w:pPr>
      <w:r>
        <w:rPr/>
        <w:t xml:space="preserve">(1) An athletic trainer licensed under this chapter </w:t>
      </w:r>
      <w:r>
        <w:t>((</w:t>
      </w:r>
      <w:r>
        <w:rPr>
          <w:strike/>
        </w:rPr>
        <w:t xml:space="preserve">may</w:t>
      </w:r>
      <w:r>
        <w:t>))</w:t>
      </w:r>
      <w:r>
        <w:rPr>
          <w:u w:val="single"/>
        </w:rPr>
        <w:t xml:space="preserve">:</w:t>
      </w:r>
    </w:p>
    <w:p>
      <w:pPr>
        <w:spacing w:before="0" w:after="0" w:line="408" w:lineRule="exact"/>
        <w:ind w:left="0" w:right="0" w:firstLine="576"/>
        <w:jc w:val="left"/>
      </w:pPr>
      <w:r>
        <w:rPr>
          <w:u w:val="single"/>
        </w:rPr>
        <w:t xml:space="preserve">(a) May</w:t>
      </w:r>
      <w:r>
        <w:rPr/>
        <w:t xml:space="preserve"> purchase, store, and administer over-the-counter </w:t>
      </w:r>
      <w:r>
        <w:t>((</w:t>
      </w:r>
      <w:r>
        <w:rPr>
          <w:strike/>
        </w:rPr>
        <w:t xml:space="preserve">topical</w:t>
      </w:r>
      <w:r>
        <w:t>))</w:t>
      </w:r>
      <w:r>
        <w:rPr/>
        <w:t xml:space="preserve"> medications </w:t>
      </w:r>
      <w:r>
        <w:t>((</w:t>
      </w:r>
      <w:r>
        <w:rPr>
          <w:strike/>
        </w:rPr>
        <w:t xml:space="preserve">such as hydrocortisone, fluocinonide, topical anesthetics, silver sulfadiazine, lidocaine, magnesium sulfate, zinc oxide, and other similar medications</w:t>
      </w:r>
      <w:r>
        <w:t>))</w:t>
      </w:r>
      <w:r>
        <w:rPr/>
        <w:t xml:space="preserve">, as prescribed by an authorized health care practitioner for the practice of athletic training</w:t>
      </w:r>
      <w:r>
        <w:rPr>
          <w:u w:val="single"/>
        </w:rPr>
        <w:t xml:space="preserve">;</w:t>
      </w:r>
    </w:p>
    <w:p>
      <w:pPr>
        <w:spacing w:before="0" w:after="0" w:line="408" w:lineRule="exact"/>
        <w:ind w:left="0" w:right="0" w:firstLine="576"/>
        <w:jc w:val="left"/>
      </w:pPr>
      <w:r>
        <w:rPr>
          <w:u w:val="single"/>
        </w:rPr>
        <w:t xml:space="preserve">(b) Who has completed accredited training programs on pharmacology and medication administration may purchase, store, and administer medications in accordance with the programs, as prescribed by an authorized health care practitioner for the practice of athletic training</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An athletic trainer may not administer any medications to a student in a public school as defined in RCW 28A.150.010 or private schools governed by chapter 28A.195 RCW.</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An athletic trainer may administer medications consistent with this section to a minor in a setting other than a school, if the minor's parent or guardian provides written consent.</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An athletic trainer licensed under this chapter who has completed an anaphylaxis training program in accordance with RCW 70.54.440 may administer an epinephrine autoinjector to any individual who the athletic trainer believes in good faith is experiencing anaphylaxis as authorized by RCW 70.54.440.</w:t>
      </w:r>
    </w:p>
    <w:p/>
    <w:p>
      <w:pPr>
        <w:jc w:val="center"/>
      </w:pPr>
      <w:r>
        <w:rPr>
          <w:b/>
        </w:rPr>
        <w:t>--- END ---</w:t>
      </w:r>
    </w:p>
    <w:sectPr>
      <w:pgNumType w:start="1"/>
      <w:footerReference xmlns:r="http://schemas.openxmlformats.org/officeDocument/2006/relationships" r:id="R33d428dc1a8149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0aa312fb6043d6" /><Relationship Type="http://schemas.openxmlformats.org/officeDocument/2006/relationships/footer" Target="/word/footer1.xml" Id="R33d428dc1a814947" /></Relationships>
</file>