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b1da35b454c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1293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Klicker, Leavitt, Barkis, Jacobsen, Waters, Chapman, Reed, and Graham)</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development regulations; amending RCW 36.70B.160;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result in a reduction in density, height, bulk, or scale below the generally applicable development regulations for a development proposal in the applicable zone.</w:t>
      </w:r>
    </w:p>
    <w:p>
      <w:pPr>
        <w:spacing w:before="0" w:after="0" w:line="408" w:lineRule="exact"/>
        <w:ind w:left="0" w:right="0" w:firstLine="576"/>
        <w:jc w:val="left"/>
      </w:pPr>
      <w:r>
        <w:rPr/>
        <w:t xml:space="preserve">(3) The provisions of subsection (2) of this section do not apply to development regulations that apply only to designated landmarks or historic districts established under a local preservation ordinance.</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w:t>
      </w:r>
    </w:p>
    <w:p>
      <w:pPr>
        <w:spacing w:before="0" w:after="0" w:line="408" w:lineRule="exact"/>
        <w:ind w:left="0" w:right="0" w:firstLine="576"/>
        <w:jc w:val="left"/>
      </w:pPr>
      <w:r>
        <w:rPr/>
        <w:t xml:space="preserve">(5) A county or city must comply with the requirements of this section beginning six months after its next periodic comprehensive plan update required under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w:t>
      </w:r>
      <w:r>
        <w:rPr>
          <w:u w:val="single"/>
        </w:rPr>
        <w:t xml:space="preserve">, and objective</w:t>
      </w:r>
      <w:r>
        <w:rPr/>
        <w:t xml:space="preserve"> review and ensure accountability to applicants and the public, including expedited review for project permit applications for projects that are consistent with adopted development regulations </w:t>
      </w:r>
      <w:r>
        <w:rPr>
          <w:u w:val="single"/>
        </w:rPr>
        <w:t xml:space="preserve">or that include dwelling units that are affordable to low-income or moderate-income households</w:t>
      </w:r>
      <w:r>
        <w:rPr/>
        <w:t xml:space="preserve">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required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Pr>
        <w:spacing w:before="0" w:after="0" w:line="408" w:lineRule="exact"/>
        <w:ind w:left="0" w:right="0" w:firstLine="576"/>
        <w:jc w:val="left"/>
      </w:pPr>
      <w:r>
        <w:rPr>
          <w:u w:val="single"/>
        </w:rPr>
        <w:t xml:space="preserve">(5) For the purposes of this section:</w:t>
      </w:r>
    </w:p>
    <w:p>
      <w:pPr>
        <w:spacing w:before="0" w:after="0" w:line="408" w:lineRule="exact"/>
        <w:ind w:left="0" w:right="0" w:firstLine="576"/>
        <w:jc w:val="left"/>
      </w:pPr>
      <w:r>
        <w:rPr>
          <w:u w:val="single"/>
        </w:rPr>
        <w:t xml:space="preserve">(a) A dwelling unit is affordable if it requires payment of monthly housing costs, including utilities other than telephone, of no more than 30 percent of the family's income.</w:t>
      </w:r>
    </w:p>
    <w:p>
      <w:pPr>
        <w:spacing w:before="0" w:after="0" w:line="408" w:lineRule="exact"/>
        <w:ind w:left="0" w:right="0" w:firstLine="576"/>
        <w:jc w:val="left"/>
      </w:pPr>
      <w:r>
        <w:rPr>
          <w:u w:val="single"/>
        </w:rPr>
        <w:t xml:space="preserve">(b) "Dwelling unit" means a residential living unit that provides complete independent living facilities for one or more persons and that includes permanent provisions for living, sleeping, eating, cooking, and sanitation, and that is sold or rented separately from other dwelling units.</w:t>
      </w:r>
    </w:p>
    <w:p>
      <w:pPr>
        <w:spacing w:before="0" w:after="0" w:line="408" w:lineRule="exact"/>
        <w:ind w:left="0" w:right="0" w:firstLine="576"/>
        <w:jc w:val="left"/>
      </w:pPr>
      <w:r>
        <w:rPr>
          <w:u w:val="single"/>
        </w:rPr>
        <w:t xml:space="preserve">(c) "Low-income household" means a single person, family, or unrelated persons living together whose adjusted income is less than 80 percent of the median family income, adjusted for household size, for the county where the household is located, as reported by the United States department of housing and urban development, or less than 80 percent of the city's median income if the project is located in the city, the city has median income of more than 20 percent above the county median income, and the city has adopted an alternative local median income.</w:t>
      </w:r>
    </w:p>
    <w:p>
      <w:pPr>
        <w:spacing w:before="0" w:after="0" w:line="408" w:lineRule="exact"/>
        <w:ind w:left="0" w:right="0" w:firstLine="576"/>
        <w:jc w:val="left"/>
      </w:pPr>
      <w:r>
        <w:rPr>
          <w:u w:val="single"/>
        </w:rPr>
        <w:t xml:space="preserve">(d)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 or less than 120 percent of the city's median income if the project is located in the city, the city has median income of more than 20 percent above the county median income, and the city has adopted an alternative local median income.</w:t>
      </w:r>
    </w:p>
    <w:p/>
    <w:p>
      <w:pPr>
        <w:jc w:val="center"/>
      </w:pPr>
      <w:r>
        <w:rPr>
          <w:b/>
        </w:rPr>
        <w:t>--- END ---</w:t>
      </w:r>
    </w:p>
    <w:sectPr>
      <w:pgNumType w:start="1"/>
      <w:footerReference xmlns:r="http://schemas.openxmlformats.org/officeDocument/2006/relationships" r:id="R07b61471b8274d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ef36b344f4ed6" /><Relationship Type="http://schemas.openxmlformats.org/officeDocument/2006/relationships/footer" Target="/word/footer1.xml" Id="R07b61471b8274d20" /></Relationships>
</file>