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7135d306647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Chapman, and Kloba)</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cannabis patients; amending RCW 69.50.535;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Until June 30, 2029,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medical cannabis products are accessible and affordable for qualifying patients and designated providers.</w:t>
      </w:r>
    </w:p>
    <w:p>
      <w:pPr>
        <w:spacing w:before="0" w:after="0" w:line="408" w:lineRule="exact"/>
        <w:ind w:left="0" w:right="0" w:firstLine="576"/>
        <w:jc w:val="left"/>
      </w:pPr>
      <w:r>
        <w:rPr/>
        <w:t xml:space="preserve">(4) The joint legislative audit and review committee must include in its review of this tax preference an evaluation of:</w:t>
      </w:r>
    </w:p>
    <w:p>
      <w:pPr>
        <w:spacing w:before="0" w:after="0" w:line="408" w:lineRule="exact"/>
        <w:ind w:left="0" w:right="0" w:firstLine="576"/>
        <w:jc w:val="left"/>
      </w:pPr>
      <w:r>
        <w:rPr/>
        <w:t xml:space="preserve">(a) Any change in the number of qualifying patients or designated providers;</w:t>
      </w:r>
    </w:p>
    <w:p>
      <w:pPr>
        <w:spacing w:before="0" w:after="0" w:line="408" w:lineRule="exact"/>
        <w:ind w:left="0" w:right="0" w:firstLine="576"/>
        <w:jc w:val="left"/>
      </w:pPr>
      <w:r>
        <w:rPr/>
        <w:t xml:space="preserve">(b) Any change in the amount, types, or sales of tax-exempt products, as identified in section 1 of this act; and</w:t>
      </w:r>
    </w:p>
    <w:p>
      <w:pPr>
        <w:spacing w:before="0" w:after="0" w:line="408" w:lineRule="exact"/>
        <w:ind w:left="0" w:right="0" w:firstLine="576"/>
        <w:jc w:val="left"/>
      </w:pPr>
      <w:r>
        <w:rPr/>
        <w:t xml:space="preserve">(c) Any other information the joint legislative audit and review committee deems necessary to evaluate the tax preference in section 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any data collected by the department of health or the liquor and cannabis board or any other data collected by the state.</w:t>
      </w:r>
    </w:p>
    <w:p>
      <w:pPr>
        <w:spacing w:before="0" w:after="0" w:line="408" w:lineRule="exact"/>
        <w:ind w:left="0" w:right="0" w:firstLine="576"/>
        <w:jc w:val="left"/>
      </w:pPr>
      <w:r>
        <w:rPr/>
        <w:t xml:space="preserve">(6) The joint legislative audit and review committee must submit a report of its findings to the legislature by December 1, 2028.</w:t>
      </w:r>
    </w:p>
    <w:p/>
    <w:p>
      <w:pPr>
        <w:jc w:val="center"/>
      </w:pPr>
      <w:r>
        <w:rPr>
          <w:b/>
        </w:rPr>
        <w:t>--- END ---</w:t>
      </w:r>
    </w:p>
    <w:sectPr>
      <w:pgNumType w:start="1"/>
      <w:footerReference xmlns:r="http://schemas.openxmlformats.org/officeDocument/2006/relationships" r:id="R328c403114d243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0106361784a3f" /><Relationship Type="http://schemas.openxmlformats.org/officeDocument/2006/relationships/footer" Target="/word/footer1.xml" Id="R328c403114d243cf" /></Relationships>
</file>