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17cfa0d384d9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1457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1457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1457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Transportation (originally sponsored by Representatives Robertson, Berry, Santos, Reed, and Fosse)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motor carrier's ability to access restroom facilities required by rules authorized under chapter 49.17 RCW; adding a new section to chapter 70.54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"Consignee" means a person or business who takes delivery of property, cargo, or materials transported in interstate or intrastate commerce from a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"Motor carrier" includes "common carrier," "contract carrier," and "private carrier" as defined in RCW 81.80.010.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"Restroom" means a bathroom facility as required by rules authorized under chapter 49.17 RCW, located on the premises of, and operated by, a shipper or consignee and that is intended for use by customers or employees of the shipper or consignee.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"Shipper" means a person or business who tenders property, cargo, or materials to a motor carrier for transportation in interstate or intrastate commerce.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shipper or consignee required to provide a restroom by rules authorized under chapter 49.17 RCW must allow a motor carrier delivering goods to or picking goods up from a shipper or consignee to use that restroom during normal business hours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restroom is located in an area where providing access would not create an obvious health or safety risk to the motor carrier;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Allowing the motor carrier to access the restroom does not pose an obvious security, health, or safety risk to the shipper, consignee, or its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shipper or consignee is not required to make any physical changes to a restroom under this section and may require that an employee accompany a motor carrier to the restroom.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shipper or consignee or an employee of a shipper or consignee is not civilly liable for any act or omission in allowing a motor carrier to use a restroom if the act or omission: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not willful or grossly negligent;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Occurs in an area of the shipper or consignee facility that is not accessible to the public;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Results in an injury to or death of the motor carrier or any individual other than an employee accompanying the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The department of health has jurisdiction to enforce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 of health may issue a warning letter to a shipper or consignee for a first violation of this section, informing the shipper or consignee of the requirements of this section. A shipper or consignee that violates this section after receiving a warning letter is guilty of a class 2 civil infraction under chapter 7.80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a3e60db33434ae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1457.PL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605aeb2134111" /><Relationship Type="http://schemas.openxmlformats.org/officeDocument/2006/relationships/footer" Target="/word/footer1.xml" Id="R2a3e60db33434aee" /></Relationships>
</file>