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346b81f51b41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Hackney, Waters, Simmons, Kloba, Pollet, Davis, and Macri;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natural resources trust land management; amending RCW 79.17.020, 79.17.210, 79.22.060, 43.30.385, 79.19.020, 79.19.030, 79.11.340, 79.22.140, and 79.19.050; reenacting and amending RCW 79.64.110; adding a new section to chapter 79.19 RCW;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federally recognized Indian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w:t>
      </w:r>
    </w:p>
    <w:p>
      <w:pPr>
        <w:spacing w:before="0" w:after="0" w:line="408" w:lineRule="exact"/>
        <w:ind w:left="0" w:right="0" w:firstLine="576"/>
        <w:jc w:val="left"/>
      </w:pPr>
      <w:r>
        <w:rPr/>
        <w:t xml:space="preserve">(2) Underperforming state land and state forestland is land that the department determines has limited potential to generate income in the reasonably foreseeable future due to physical, legal, access, or other constraints.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(3)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(4)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(5)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0" w:after="0" w:line="408" w:lineRule="exact"/>
        <w:ind w:left="0" w:right="0" w:firstLine="576"/>
        <w:jc w:val="left"/>
      </w:pPr>
      <w:r>
        <w:rPr/>
        <w:t xml:space="preserve">(6) The department shall only submit real properties for trust land transfers to the board or legislature through the process created in section 3 of this act if at least 50 percent of all previous appropriations provided after the effective date of this section for purchase of replacement lands for the trust land transfer program have been utilized to purchase replacement trust lands. The list of properties submitted to the board or legislature for possible trust land transfers through the process created in section 3 of this act may not exceed $30,000,000 in total property value for each year the list is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federally recognized Indian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federally recognized Indian tribes, consistent with the department's consultation policy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federally recognized Indian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the full fair market value for the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w:t>
      </w:r>
      <w:r>
        <w:rPr>
          <w:u w:val="single"/>
        </w:rPr>
        <w:t xml:space="preserve">federally recognized Indian</w:t>
      </w:r>
      <w:r>
        <w:rPr/>
        <w:t xml:space="preserve">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w:t>
      </w:r>
      <w:r>
        <w:rPr>
          <w:u w:val="single"/>
        </w:rPr>
        <w:t xml:space="preserve">,</w:t>
      </w:r>
      <w:r>
        <w:rPr/>
        <w:t xml:space="preserve"> as provided in RCW 79.64.110 and located within any county participating in the land pool </w:t>
      </w:r>
      <w:r>
        <w:rPr>
          <w:u w:val="single"/>
        </w:rPr>
        <w:t xml:space="preserve">or under a county agreement as provided in RCW 79.22.140</w:t>
      </w:r>
      <w:r>
        <w:rPr/>
        <w:t xml:space="preserve">.</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w:t>
      </w:r>
      <w:r>
        <w:rPr>
          <w:u w:val="single"/>
        </w:rPr>
        <w:t xml:space="preserve">,</w:t>
      </w:r>
      <w:r>
        <w:rPr/>
        <w:t xml:space="preserve"> as provided in RCW 79.64.110</w:t>
      </w:r>
      <w:r>
        <w:rPr>
          <w:u w:val="single"/>
        </w:rPr>
        <w:t xml:space="preserve">,</w:t>
      </w:r>
      <w:r>
        <w:rPr/>
        <w:t xml:space="preserve"> and located within any county participating in the land pool </w:t>
      </w:r>
      <w:r>
        <w:rPr>
          <w:u w:val="single"/>
        </w:rPr>
        <w:t xml:space="preserve">or under a county agreement as provided in RCW 79.22.140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w:t>
      </w:r>
      <w:r>
        <w:rPr>
          <w:u w:val="single"/>
        </w:rPr>
        <w:t xml:space="preserve">a natural area preserve under chapter 79.70 RCW or</w:t>
      </w:r>
      <w:r>
        <w:rPr/>
        <w:t xml:space="preserve">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 The department may acquire replacement state forestland located outside of counties participating in a state forestland pool when the department has transferred some or all of the encumbered state forestlands of the counties to natural area status under chapter 79.70 or 79.71 RCW.</w:t>
      </w:r>
    </w:p>
    <w:p>
      <w:pPr>
        <w:spacing w:before="0" w:after="0" w:line="408" w:lineRule="exact"/>
        <w:ind w:left="0" w:right="0" w:firstLine="576"/>
        <w:jc w:val="left"/>
      </w:pPr>
      <w:r>
        <w:rPr>
          <w:u w:val="single"/>
        </w:rPr>
        <w:t xml:space="preserve">(a) Counties participating in a state forestland pool that desire to have the department acquire replacement lands in a designated county not included in the state forestland pool shall provide the department an agreement entered with the designated county that meets the following requirements:</w:t>
      </w:r>
    </w:p>
    <w:p>
      <w:pPr>
        <w:spacing w:before="0" w:after="0" w:line="408" w:lineRule="exact"/>
        <w:ind w:left="0" w:right="0" w:firstLine="576"/>
        <w:jc w:val="left"/>
      </w:pPr>
      <w:r>
        <w:rPr>
          <w:u w:val="single"/>
        </w:rPr>
        <w:t xml:space="preserve">(i) The designated county shall not object to forest practices undertaken on the replacement state forestland in conformity with all applicable laws and rules;</w:t>
      </w:r>
    </w:p>
    <w:p>
      <w:pPr>
        <w:spacing w:before="0" w:after="0" w:line="408" w:lineRule="exact"/>
        <w:ind w:left="0" w:right="0" w:firstLine="576"/>
        <w:jc w:val="left"/>
      </w:pPr>
      <w:r>
        <w:rPr>
          <w:u w:val="single"/>
        </w:rPr>
        <w:t xml:space="preserve">(ii) The counties participating in the state forestland pool acknowledge that they shall pass through the payment in lieu of taxes to which they are entitled, under RCW 79.70.130 or 79.71.130, to the designated county in which replacement lands are purchased, on an acre for acre basis;</w:t>
      </w:r>
    </w:p>
    <w:p>
      <w:pPr>
        <w:spacing w:before="0" w:after="0" w:line="408" w:lineRule="exact"/>
        <w:ind w:left="0" w:right="0" w:firstLine="576"/>
        <w:jc w:val="left"/>
      </w:pPr>
      <w:r>
        <w:rPr>
          <w:u w:val="single"/>
        </w:rPr>
        <w:t xml:space="preserve">(iii) If the designated county desires to terminate the agreement, the designated county shall be required to pay the department the fair market value of the replacement forestlands, including the value of valuable materials attached to the lands, at the time of termination based on an appraisal accepted by the department and approved by the board; and</w:t>
      </w:r>
    </w:p>
    <w:p>
      <w:pPr>
        <w:spacing w:before="0" w:after="0" w:line="408" w:lineRule="exact"/>
        <w:ind w:left="0" w:right="0" w:firstLine="576"/>
        <w:jc w:val="left"/>
      </w:pPr>
      <w:r>
        <w:rPr>
          <w:u w:val="single"/>
        </w:rPr>
        <w:t xml:space="preserve">(iv) The board of county commissioners for the designated county and each county participating in the state forestland pool approves the agreement in the manner provided by RCW 42.30.060.</w:t>
      </w:r>
    </w:p>
    <w:p>
      <w:pPr>
        <w:spacing w:before="0" w:after="0" w:line="408" w:lineRule="exact"/>
        <w:ind w:left="0" w:right="0" w:firstLine="576"/>
        <w:jc w:val="left"/>
      </w:pPr>
      <w:r>
        <w:rPr>
          <w:u w:val="single"/>
        </w:rPr>
        <w:t xml:space="preserve">(b) When the department receives an agreement meeting the requirements of (a) of this subsection, the department shall make reasonable efforts to acquire working forestlands within the designated county to include in the state forestland pool.</w:t>
      </w:r>
    </w:p>
    <w:p>
      <w:pPr>
        <w:spacing w:before="0" w:after="0" w:line="408" w:lineRule="exact"/>
        <w:ind w:left="0" w:right="0" w:firstLine="576"/>
        <w:jc w:val="left"/>
      </w:pPr>
      <w:r>
        <w:rPr>
          <w:u w:val="single"/>
        </w:rPr>
        <w:t xml:space="preserve">(c) The counties participating in the state forestland pool shall pass through the payment in lieu of taxes to which they are entitled under RCW 79.70.130 or 79.71.130, based on the encumbered state forestlands within their counties transferred to natural area status, to the designated county in which the replacement state forestlands are located, on an acre for acre basis.</w:t>
      </w:r>
    </w:p>
    <w:p>
      <w:pPr>
        <w:spacing w:before="0" w:after="0" w:line="408" w:lineRule="exact"/>
        <w:ind w:left="0" w:right="0" w:firstLine="576"/>
        <w:jc w:val="left"/>
      </w:pPr>
      <w:r>
        <w:rPr>
          <w:u w:val="single"/>
        </w:rPr>
        <w:t xml:space="preserve">(d) Whenever the board of county commissioners of the county in which the replacement state forestlands are located determines to terminate the agreement described in (a) of this subsection, the board of county commissioners shall notify the department and the counties participating in the state forestland pool. The department shall transfer the replacement state forestlands to the county upon receipt of the fair market value of the lands, including the value of valuable materials attached to the lands, as determined by appraisal and approved by the board. The proceeds shall be placed in the parkland trust revolving fund and be solely used by the department to buy replacement land within the counties participating in the subject state forestland pool or another county with which the participating counties have entered an agreement under (a) of this subsection.</w:t>
      </w:r>
    </w:p>
    <w:p>
      <w:pPr>
        <w:spacing w:before="0" w:after="0" w:line="408" w:lineRule="exact"/>
        <w:ind w:left="0" w:right="0" w:firstLine="576"/>
        <w:jc w:val="left"/>
      </w:pPr>
      <w:r>
        <w:rPr>
          <w:u w:val="single"/>
        </w:rPr>
        <w:t xml:space="preserve">(e) The authority provided by this subsection to acquire replacement state forestlands located outside of the counties participating in a state forestland pool does not preclude the department from acquiring replacement lands within the counties participating in the state forestland pool as necessary to fully replace the encumbered state forestlands transferred under RCW 79.22.060(1)(b).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 Expenditures from this account may be made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NumType w:start="1"/>
      <w:footerReference xmlns:r="http://schemas.openxmlformats.org/officeDocument/2006/relationships" r:id="R0faf19f6e40f45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760a5b817445a" /><Relationship Type="http://schemas.openxmlformats.org/officeDocument/2006/relationships/footer" Target="/word/footer1.xml" Id="R0faf19f6e40f45ca" /></Relationships>
</file>