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b9fde4637a4c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1508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45</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ENGROSSED SUBSTITUTE HOUSE BILL 1508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1508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Macri, Riccelli, Simmons, Fitzgibbon, Berry, Alvarado, Bateman, Ormsby, Doglio, Reed, Callan, Stonier, Tharinger, and Bergquist)</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70.390.040, 70.390.050, 70.390.070, and 70.405.030; adding new sections to chapter 70.390 RCW; and adding a new section to chapter 43.71C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w:t>
      </w:r>
      <w:r>
        <w:t>((</w:t>
      </w:r>
      <w:r>
        <w:rPr>
          <w:strike/>
        </w:rPr>
        <w:t xml:space="preserve">an</w:t>
      </w:r>
      <w:r>
        <w:t>))</w:t>
      </w:r>
      <w:r>
        <w:rPr/>
        <w:t xml:space="preserve"> </w:t>
      </w:r>
      <w:r>
        <w:rPr>
          <w:u w:val="single"/>
        </w:rPr>
        <w:t xml:space="preserve">a health care stakeholder</w:t>
      </w:r>
      <w:r>
        <w:rPr/>
        <w:t xml:space="preserve"> advisory committee </w:t>
      </w:r>
      <w:r>
        <w:t>((</w:t>
      </w:r>
      <w:r>
        <w:rPr>
          <w:strike/>
        </w:rPr>
        <w:t xml:space="preserve">of health care providers and carriers</w:t>
      </w:r>
      <w:r>
        <w:t>))</w:t>
      </w:r>
      <w:r>
        <w:rPr/>
        <w:t xml:space="preserve">. The board may establish other advisory committees as it finds necessary. </w:t>
      </w:r>
      <w:r>
        <w:rPr>
          <w:u w:val="single"/>
        </w:rPr>
        <w:t xml:space="preserve">Any other standing advisory committee established by the board shall include members representing the interests of consumer, labor, and employer purchasers, at a minimum, and may include other stakeholders with expertise in the subject of the advisory committee, such as health care providers, payers, and health care cost researchers.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w:t>
      </w:r>
      <w:r>
        <w:t>((</w:t>
      </w:r>
      <w:r>
        <w:rPr>
          <w:strike/>
        </w:rPr>
        <w:t xml:space="preserve">and</w:t>
      </w:r>
      <w:r>
        <w:t>))</w:t>
      </w:r>
      <w:r>
        <w:rPr/>
        <w:t xml:space="preserve"> actuarial analysis</w:t>
      </w:r>
      <w:r>
        <w:rPr>
          <w:u w:val="single"/>
        </w:rPr>
        <w:t xml:space="preserve">, or other relevant expertise related to health data</w:t>
      </w:r>
      <w:r>
        <w:rPr/>
        <w:t xml:space="preserve">.</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w:t>
      </w:r>
      <w:r>
        <w:rPr>
          <w:u w:val="single"/>
        </w:rPr>
        <w:t xml:space="preserve">shall</w:t>
      </w:r>
      <w:r>
        <w:rPr/>
        <w:t xml:space="preserve"> seek input and recommendations from </w:t>
      </w:r>
      <w:r>
        <w:t>((</w:t>
      </w:r>
      <w:r>
        <w:rPr>
          <w:strike/>
        </w:rPr>
        <w:t xml:space="preserve">the</w:t>
      </w:r>
      <w:r>
        <w:t>))</w:t>
      </w:r>
      <w:r>
        <w:rPr/>
        <w:t xml:space="preserve"> </w:t>
      </w:r>
      <w:r>
        <w:rPr>
          <w:u w:val="single"/>
        </w:rPr>
        <w:t xml:space="preserve">relevant</w:t>
      </w:r>
      <w:r>
        <w:rPr/>
        <w:t xml:space="preserve"> advisory committees </w:t>
      </w:r>
      <w:r>
        <w:t>((</w:t>
      </w:r>
      <w:r>
        <w:rPr>
          <w:strike/>
        </w:rPr>
        <w:t xml:space="preserve">on topics relevant to the work of the board</w:t>
      </w:r>
      <w:r>
        <w:t>))</w:t>
      </w:r>
      <w:r>
        <w:rPr/>
        <w:t xml:space="preserve">.</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publicly available information filed by carriers under Title 48 RCW and data collected under chapters 43.70, 43.71, 43.71C, 43.371, and 70.405 RCW, in its analyses and discussions to the same extent that the custodians of the data are permitted to use the data.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w:t>
      </w:r>
      <w:r>
        <w:t>((</w:t>
      </w:r>
      <w:r>
        <w:rPr>
          <w:strike/>
        </w:rPr>
        <w:t xml:space="preserve">accept</w:t>
      </w:r>
      <w:r>
        <w:t>))</w:t>
      </w:r>
      <w:r>
        <w:rPr/>
        <w:t xml:space="preserve"> </w:t>
      </w:r>
      <w:r>
        <w:rPr>
          <w:u w:val="single"/>
        </w:rPr>
        <w:t xml:space="preserve">solicit and consider</w:t>
      </w:r>
      <w:r>
        <w:rPr/>
        <w:t xml:space="preserve"> recommendations from the advisory committee on data issues and the </w:t>
      </w:r>
      <w:r>
        <w:rPr>
          <w:u w:val="single"/>
        </w:rPr>
        <w:t xml:space="preserve">health care stakeholder</w:t>
      </w:r>
      <w:r>
        <w:rPr/>
        <w:t xml:space="preserve"> advisory committee </w:t>
      </w:r>
      <w:r>
        <w:t>((</w:t>
      </w:r>
      <w:r>
        <w:rPr>
          <w:strike/>
        </w:rPr>
        <w:t xml:space="preserve">of health care providers and carriers</w:t>
      </w:r>
      <w:r>
        <w:t>))</w:t>
      </w:r>
      <w:r>
        <w:rPr/>
        <w:t xml:space="preserve">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w:t>
      </w:r>
    </w:p>
    <w:p>
      <w:pPr>
        <w:spacing w:before="0" w:after="0" w:line="408" w:lineRule="exact"/>
        <w:ind w:left="0" w:right="0" w:firstLine="576"/>
        <w:jc w:val="left"/>
      </w:pPr>
      <w:r>
        <w:rPr>
          <w:u w:val="single"/>
        </w:rPr>
        <w:t xml:space="preserve">(x) Utilization trends and adjustments for demographic changes and severity of illness;</w:t>
      </w:r>
    </w:p>
    <w:p>
      <w:pPr>
        <w:spacing w:before="0" w:after="0" w:line="408" w:lineRule="exact"/>
        <w:ind w:left="0" w:right="0" w:firstLine="576"/>
        <w:jc w:val="left"/>
      </w:pPr>
      <w:r>
        <w:rPr>
          <w:u w:val="single"/>
        </w:rPr>
        <w:t xml:space="preserve">(xi) New state health insurance benefit mandates enacted by the legislature that require carriers to reimburse the cost of specified procedures or prescriptions; and</w:t>
      </w:r>
    </w:p>
    <w:p>
      <w:pPr>
        <w:spacing w:before="0" w:after="0" w:line="408" w:lineRule="exact"/>
        <w:ind w:left="0" w:right="0" w:firstLine="576"/>
        <w:jc w:val="left"/>
      </w:pPr>
      <w:r>
        <w:rPr>
          <w:u w:val="single"/>
        </w:rPr>
        <w:t xml:space="preserve">(xii) Other cost drivers determined by the board to be informative to determining annual total health care expenditures and establishing the annual health care cost growth benchmark; and</w:t>
      </w:r>
    </w:p>
    <w:p>
      <w:pPr>
        <w:spacing w:before="0" w:after="0" w:line="408" w:lineRule="exact"/>
        <w:ind w:left="0" w:right="0" w:firstLine="576"/>
        <w:jc w:val="left"/>
      </w:pPr>
      <w:r>
        <w:rPr>
          <w:u w:val="single"/>
        </w:rPr>
        <w:t xml:space="preserve">(f)</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t>((</w:t>
      </w:r>
      <w:r>
        <w:rPr>
          <w:strike/>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strike/>
        </w:rPr>
        <w:t xml:space="preserve">(2) Beginning August 1, 2022</w:t>
      </w:r>
      <w:r>
        <w:t>))</w:t>
      </w:r>
      <w:r>
        <w:rPr/>
        <w:t xml:space="preserve"> </w:t>
      </w:r>
      <w:r>
        <w:rPr>
          <w:u w:val="single"/>
        </w:rPr>
        <w:t xml:space="preserve">By December 1st of each year</w:t>
      </w:r>
      <w:r>
        <w:rPr/>
        <w:t xml:space="preserve">, the board shall submit annual reports to the governor and each chamber of the legislature. </w:t>
      </w:r>
      <w:r>
        <w:t>((</w:t>
      </w:r>
      <w:r>
        <w:rPr>
          <w:strike/>
        </w:rPr>
        <w:t xml:space="preserve">The first annual report shall determine the total health care expenditures for the most recent year for which data is available and shall establish the health care cost growth benchmark for the following year.</w:t>
      </w:r>
      <w:r>
        <w:t>))</w:t>
      </w:r>
      <w:r>
        <w:rPr/>
        <w:t xml:space="preserve">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At least biennially, the board shall conduct a survey of underinsurance among Washington residents.</w:t>
      </w:r>
    </w:p>
    <w:p>
      <w:pPr>
        <w:spacing w:before="0" w:after="0" w:line="408" w:lineRule="exact"/>
        <w:ind w:left="0" w:right="0" w:firstLine="576"/>
        <w:jc w:val="left"/>
      </w:pPr>
      <w:r>
        <w:rPr/>
        <w:t xml:space="preserve">(a) The survey shall be conducted among a representative sample of Washington residents. Analysis of the survey results shall be disaggregated to the greatest extent feasible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(b) of this subsection as well as the share of Washington residents who delay or forego care due to cost.</w:t>
      </w:r>
    </w:p>
    <w:p>
      <w:pPr>
        <w:spacing w:before="0" w:after="0" w:line="408" w:lineRule="exact"/>
        <w:ind w:left="0" w:right="0" w:firstLine="576"/>
        <w:jc w:val="left"/>
      </w:pPr>
      <w:r>
        <w:rPr/>
        <w:t xml:space="preserve">(b)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(c) Beginning in 2026, the board may implement improvements to the measure of underinsurance defined in (b)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(2) At least biennially, the board shall conduct a survey of insurance trends among employers and employees. The survey must be conducted among a representative sample of Washington employers and employees.</w:t>
      </w:r>
    </w:p>
    <w:p>
      <w:pPr>
        <w:spacing w:before="0" w:after="0" w:line="408" w:lineRule="exact"/>
        <w:ind w:left="0" w:right="0" w:firstLine="576"/>
        <w:jc w:val="left"/>
      </w:pPr>
      <w:r>
        <w:rPr/>
        <w:t xml:space="preserve">(3) The board may conduct the surveys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2025,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No later than December 1, 2024, and annually thereafter, the board shall hold a public hearing related to discussing the growth in total health care expenditures in relation to the health care cost growth benchmark in the previous performance period, in accordance with the open public meetings act, chapter 42.30 RCW. The agenda and any materials for this hearing must be made available to the public at least 14 days prior to the hearing.</w:t>
      </w:r>
    </w:p>
    <w:p>
      <w:pPr>
        <w:spacing w:before="0" w:after="0" w:line="408" w:lineRule="exact"/>
        <w:ind w:left="0" w:right="0" w:firstLine="576"/>
        <w:jc w:val="left"/>
      </w:pPr>
      <w:r>
        <w:rPr/>
        <w:t xml:space="preserve">(2)(a) Except as provided in (b) of this subsection, to the extent data permits, the hearing must include the public identification of any payers or health care providers for which health care cost growth in the previous performance period exceeded the health care cost growth benchmark.</w:t>
      </w:r>
    </w:p>
    <w:p>
      <w:pPr>
        <w:spacing w:before="0" w:after="0" w:line="408" w:lineRule="exact"/>
        <w:ind w:left="0" w:right="0" w:firstLine="576"/>
        <w:jc w:val="left"/>
      </w:pPr>
      <w:r>
        <w:rPr/>
        <w:t xml:space="preserve">(b) Provider groups with fewer than 10,000 unique attributed lives shall be exempt from identification under (a) of this subsection.</w:t>
      </w:r>
    </w:p>
    <w:p>
      <w:pPr>
        <w:spacing w:before="0" w:after="0" w:line="408" w:lineRule="exact"/>
        <w:ind w:left="0" w:right="0" w:firstLine="576"/>
        <w:jc w:val="left"/>
      </w:pPr>
      <w:r>
        <w:rPr/>
        <w:t xml:space="preserve">(3) At the hearing, the board:</w:t>
      </w:r>
    </w:p>
    <w:p>
      <w:pPr>
        <w:spacing w:before="0" w:after="0" w:line="408" w:lineRule="exact"/>
        <w:ind w:left="0" w:right="0" w:firstLine="576"/>
        <w:jc w:val="left"/>
      </w:pPr>
      <w:r>
        <w:rPr/>
        <w:t xml:space="preserve">(a)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(b)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(c) Shall provide an opportunity for public comment.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71C</w:t>
      </w:r>
      <w:r>
        <w:rPr/>
        <w:t xml:space="preserve"> RCW</w:t>
      </w:r>
      <w:r>
        <w:rPr/>
        <w:t xml:space="preserve"> to read as follows:</w:t>
      </w:r>
    </w:p>
    <w:p>
      <w:pPr>
        <w:spacing w:before="0" w:after="0" w:line="408" w:lineRule="exact"/>
        <w:ind w:left="0" w:right="0" w:firstLine="576"/>
        <w:jc w:val="left"/>
      </w:pPr>
      <w:r>
        <w:rPr/>
        <w:t xml:space="preserve">Information collected pursuant to this chapter may be shared with the health care cost transparency board established under chapter 70.390 RCW, subject to the same disclosure restrictions applicable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
      <w:pPr>
        <w:jc w:val="center"/>
      </w:pPr>
      <w:r>
        <w:rPr>
          <w:b/>
        </w:rPr>
        <w:t>--- END ---</w:t>
      </w:r>
    </w:p>
    <w:sectPr>
      <w:pgNumType w:start="1"/>
      <w:footerReference xmlns:r="http://schemas.openxmlformats.org/officeDocument/2006/relationships" r:id="R9de9cf6e46c844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1508.PL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76d2eefc6140b2" /><Relationship Type="http://schemas.openxmlformats.org/officeDocument/2006/relationships/footer" Target="/word/footer1.xml" Id="R9de9cf6e46c84456" /></Relationships>
</file>