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2ec0eb4414d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Davis, Simmons, Orwall, Taylor, Leavitt, Riccelli, Callan, Farivar, Alvarado, Reed, Fosse, Doglio, Berg, Ryu, Peterson, Fitzgibbon, Bateman, Eslick, Ormsby, Stonier, and Tharinger)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and procurement requirements for behavioral health services in medical assistance programs; amending RCW 74.09.871 and 71.24.861;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are challenged with accessing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considering when to conduct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ensure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ensure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0" w:after="0" w:line="408" w:lineRule="exact"/>
        <w:ind w:left="0" w:right="0" w:firstLine="576"/>
        <w:jc w:val="left"/>
      </w:pPr>
      <w:r>
        <w:rPr/>
        <w:t xml:space="preserve">(3) The legislature finds that increased access to behavioral health services for American Indians and Alaska Natives, children in foster care, and the aged, blind, and disabled through the preservation and enhancement of the fee-for-service system is also critical to reducing health disparities among these vulnerable populations. The legislature also intends to increase access to timely and robust behavioral health services for American Indians and Alaska Natives, children in foster care, and the aged, blind, and disabled, in the fee-for-service system they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At least six months prior to releasing a medicaid integrated managed care procurement, but no later than January 1, 2025, the authority shall adopt statewide network adequacy standards that are assessed on a regional basis for the behavioral health provider networks maintained by managed care organizations pursuant to subsection (1)(d) of this section. The standards shall require a network that ensures access to appropriate and timely behavioral health services for the enrollees of the managed care organization who live within the regional service area. At a minimum, these standards must address each behavioral health services type covered by the medicaid integrated managed care contract. This includes, but is not limited to: Outpatient, inpatient, and residential levels of care for adults and youth with a mental health disorder; outpatient, inpatient, and residential levels of care for adults and youth with a substance use disorder; crisis and stabilization services; providers of medication for opioid use disorders; specialty care; other facility-based services; and other providers as determined by the authority through this process. The authority shall apply the standards regionally and shall incorporate behavioral health system needs and considerations as follows:</w:t>
      </w:r>
    </w:p>
    <w:p>
      <w:pPr>
        <w:spacing w:before="0" w:after="0" w:line="408" w:lineRule="exact"/>
        <w:ind w:left="0" w:right="0" w:firstLine="576"/>
        <w:jc w:val="left"/>
      </w:pPr>
      <w:r>
        <w:rPr>
          <w:u w:val="single"/>
        </w:rPr>
        <w:t xml:space="preserve">(a) Include a process for an annual review of the network adequacy standards;</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 assessment of the needs or gaps in the region; and availability of culturally specific services and providers in the regional service area to address the needs of communities that experience cultural barriers to health care including but not limited to communities of color and the LGBTQ+ community;</w:t>
      </w:r>
    </w:p>
    <w:p>
      <w:pPr>
        <w:spacing w:before="0" w:after="0" w:line="408" w:lineRule="exact"/>
        <w:ind w:left="0" w:right="0" w:firstLine="576"/>
        <w:jc w:val="left"/>
      </w:pPr>
      <w:r>
        <w:rPr>
          <w:u w:val="single"/>
        </w:rPr>
        <w:t xml:space="preserve">(d) Include a structure for monitoring compliance with provider network standards and timely access to the services;</w:t>
      </w:r>
    </w:p>
    <w:p>
      <w:pPr>
        <w:spacing w:before="0" w:after="0" w:line="408" w:lineRule="exact"/>
        <w:ind w:left="0" w:right="0" w:firstLine="576"/>
        <w:jc w:val="left"/>
      </w:pPr>
      <w:r>
        <w:rPr>
          <w:u w:val="single"/>
        </w:rPr>
        <w:t xml:space="preserve">(e) Consider how statewide services, such as residential treatment facilities, are utilized cross-regionally; and</w:t>
      </w:r>
    </w:p>
    <w:p>
      <w:pPr>
        <w:spacing w:before="0" w:after="0" w:line="408" w:lineRule="exact"/>
        <w:ind w:left="0" w:right="0" w:firstLine="576"/>
        <w:jc w:val="left"/>
      </w:pPr>
      <w:r>
        <w:rPr>
          <w:u w:val="single"/>
        </w:rPr>
        <w:t xml:space="preserve">(f) Consider how the standards would impact requirements for behavioral health administrative service organizations.</w:t>
      </w:r>
    </w:p>
    <w:p>
      <w:pPr>
        <w:spacing w:before="0" w:after="0" w:line="408" w:lineRule="exact"/>
        <w:ind w:left="0" w:right="0" w:firstLine="576"/>
        <w:jc w:val="left"/>
      </w:pPr>
      <w:r>
        <w:rPr>
          <w:u w:val="single"/>
        </w:rPr>
        <w:t xml:space="preserve">(3) Before releasing a medicaid integrated managed care procurement, the authority shall identify options that minimize provider administrative burden, including the potential to limit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w:t>
      </w:r>
      <w:r>
        <w:rPr>
          <w:u w:val="single"/>
        </w:rPr>
        <w:t xml:space="preserve">medicaid integrated managed care</w:t>
      </w:r>
      <w:r>
        <w:rPr/>
        <w:t xml:space="preserve">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r>
        <w:rPr>
          <w:strike/>
        </w:rPr>
        <w:t xml:space="preserve"> (3)</w:t>
      </w:r>
      <w:r>
        <w:t>))</w:t>
      </w:r>
      <w:r>
        <w:rPr>
          <w:u w:val="single"/>
        </w:rPr>
        <w:t xml:space="preserve">;</w:t>
      </w:r>
    </w:p>
    <w:p>
      <w:pPr>
        <w:spacing w:before="0" w:after="0" w:line="408" w:lineRule="exact"/>
        <w:ind w:left="0" w:right="0" w:firstLine="576"/>
        <w:jc w:val="left"/>
      </w:pPr>
      <w:r>
        <w:rPr>
          <w:u w:val="single"/>
        </w:rPr>
        <w:t xml:space="preserve">(h) The extent to which a managed care organization's approach to contracting simplifies billing and contracting burdens for community behavioral health provider agencies, which may include but is not limited to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w:t>
      </w:r>
    </w:p>
    <w:p>
      <w:pPr>
        <w:spacing w:before="0" w:after="0" w:line="408" w:lineRule="exact"/>
        <w:ind w:left="0" w:right="0" w:firstLine="576"/>
        <w:jc w:val="left"/>
      </w:pPr>
      <w:r>
        <w:rPr>
          <w:u w:val="single"/>
        </w:rPr>
        <w:t xml:space="preserve">(i) Demonstrated prior national or in-state experience with a full continuum of behavioral health services that are substantially similar to the behavioral health services covered under the Washington medicaid state plan, including evidence through past and current data on performance, quality, and outcomes; and</w:t>
      </w:r>
    </w:p>
    <w:p>
      <w:pPr>
        <w:spacing w:before="0" w:after="0" w:line="408" w:lineRule="exact"/>
        <w:ind w:left="0" w:right="0" w:firstLine="576"/>
        <w:jc w:val="left"/>
      </w:pPr>
      <w:r>
        <w:rPr>
          <w:u w:val="single"/>
        </w:rPr>
        <w:t xml:space="preserve">(j) Demonstrated commitment by managed care organizations to the use of alternative pricing and payment structures between a managed care organization and its behavioral health services providers, including provider networks described in subsection (b) of this section, and between a managed care organization and a behavioral administrative service organization,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strategy, such as capitated payment arrangements, comprehensive population-based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(4)(j)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(6)(a) The authority shall urge managed care organizations to establish, continue, or expand delegation arrangements with a provider network that exists on the effective date of this section and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Such delegation arrangements must meet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(b) The authority shall recognize and support, and may not limit or restrict, a delegation arrangement that a managed care organization and a provider network described in (a) of this subsection have agreed upon, provided such arrangement meets the requirements of the integrated managed care contract and the national committee for quality assurance accreditation standards. The authority may periodically review such arrangements for effectiveness according to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(c) Managed care organizations and the authority may evaluate whether to establish or support future delegation arrangements with any additional provider networks that may be created after the effective date of this section, based on the requirements of the integrated managed care contract and the national committee for quality assurance accreditation standards.</w:t>
      </w:r>
    </w:p>
    <w:p>
      <w:pPr>
        <w:spacing w:before="0" w:after="0" w:line="408" w:lineRule="exact"/>
        <w:ind w:left="0" w:right="0" w:firstLine="576"/>
        <w:jc w:val="left"/>
      </w:pPr>
      <w:r>
        <w:rPr>
          <w:u w:val="single"/>
        </w:rPr>
        <w:t xml:space="preserve">(7)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(8) The authority shall, in consultation with managed care organizations, review reports and recommendations of the involuntary treatment act work group established pursuant to section 103, chapter 302, Laws of 2020 and develop a plan for adding contract provisions that increase managed care organizations' accountability when their enrollees require long-term involuntary inpatient behavioral health treatment and shall explore opportunities to maximize medicaid funding as appropriate.</w:t>
      </w:r>
    </w:p>
    <w:p>
      <w:pPr>
        <w:spacing w:before="0" w:after="0" w:line="408" w:lineRule="exact"/>
        <w:ind w:left="0" w:right="0" w:firstLine="576"/>
        <w:jc w:val="left"/>
      </w:pPr>
      <w:r>
        <w:rPr>
          <w:u w:val="single"/>
        </w:rPr>
        <w:t xml:space="preserve">(9) In recognition of the value of community input and consistent with past procurement practices, the authority shall include county and behavioral health provider representatives in the development of any medicaid integrated managed care procurement process. This shall include, at a minimum, two representatives identified by the association of county human services and two representatives identified by the Washington council for behavioral health to participate in the review and development of procurement documents.</w:t>
      </w:r>
    </w:p>
    <w:p>
      <w:pPr>
        <w:spacing w:before="0" w:after="0" w:line="408" w:lineRule="exact"/>
        <w:ind w:left="0" w:right="0" w:firstLine="576"/>
        <w:jc w:val="left"/>
      </w:pPr>
      <w:r>
        <w:rPr>
          <w:u w:val="single"/>
        </w:rPr>
        <w:t xml:space="preserve">(10)</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(11)</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861</w:t>
      </w:r>
      <w:r>
        <w:rPr/>
        <w:t xml:space="preserve"> and 2019 c 325 s 1047 are each amended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r>
        <w:rPr>
          <w:u w:val="single"/>
        </w:rPr>
        <w:t xml:space="preserve">, including but not limited to the data-sharing needs of behavioral health system partners</w:t>
      </w:r>
      <w:r>
        <w:rPr/>
        <w:t xml:space="preserve">.</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c2a98d3f4d748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9f065187044e1" /><Relationship Type="http://schemas.openxmlformats.org/officeDocument/2006/relationships/footer" Target="/word/footer1.xml" Id="Rec2a98d3f4d748da" /></Relationships>
</file>