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9bcbccb7948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1551</w:t>
      </w:r>
    </w:p>
    <w:p>
      <w:pPr>
        <w:jc w:val="center"/>
      </w:pPr>
      <w:r>
        <w:t>_______________________________________________</w:t>
      </w:r>
    </w:p>
    <w:p/>
    <w:p>
      <w:pPr>
        <w:jc w:val="center"/>
      </w:pPr>
      <w:r>
        <w:t xml:space="preserve">AS AMENDED BY THE </w:t>
        <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Pollet, Doglio, Fitzgibbon, Berry, Gregerson, Fosse,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(2)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no manufacturer may manufacture, sell, offer for sale, distribute for sale, or distribute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(2)(a) Beginning January 1, 2026, no retailer or wholesaler may knowingly sell or knowingly offer for sale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(b) Retailers or wholesalers who unknowingly sell products that are restricted from sale under this chapter are not liable under this chapter.</w:t>
      </w:r>
    </w:p>
    <w:p>
      <w:pPr>
        <w:spacing w:before="0" w:after="0" w:line="408" w:lineRule="exact"/>
        <w:ind w:left="0" w:right="0" w:firstLine="576"/>
        <w:jc w:val="left"/>
      </w:pPr>
      <w:r>
        <w:rPr/>
        <w:t xml:space="preserve">(c) The sale or purchase of any previously owned cookware or cookware components containing lead made in casual or isolated sales as defined in RCW 82.04.040, or by a nonprofit organization, is exempt from this chapter.</w:t>
      </w:r>
    </w:p>
    <w:p>
      <w:pPr>
        <w:spacing w:before="0" w:after="0" w:line="408" w:lineRule="exact"/>
        <w:ind w:left="0" w:right="0" w:firstLine="576"/>
        <w:jc w:val="left"/>
      </w:pPr>
      <w:r>
        <w:rPr/>
        <w:t xml:space="preserve">(3) After December 2034,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w:t>
      </w:r>
      <w:r>
        <w:rPr>
          <w:u w:val="single"/>
        </w:rPr>
        <w:t xml:space="preserve">, 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642e16bc0d3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7ddb62c754445" /><Relationship Type="http://schemas.openxmlformats.org/officeDocument/2006/relationships/footer" Target="/word/footer1.xml" Id="R8642e16bc0d34818" /></Relationships>
</file>