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ba790c48845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17,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Tharinger and Chapman)</w:t>
      </w:r>
    </w:p>
    <w:p/>
    <w:p>
      <w:r>
        <w:rPr>
          <w:t xml:space="preserve">READ FIRST TIME 03/29/23.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exclusion of compensating tax when land is sold to a governmental entity intending to manage the land similarly to designated forestland or timberland; amending RCW 84.33.140 and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2017 3rd sp.s. c 37 s 1002 are each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otherwise in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w:t>
      </w:r>
      <w:r>
        <w:t>((</w:t>
      </w:r>
      <w:r>
        <w:rPr>
          <w:strike/>
        </w:rPr>
        <w:t xml:space="preserve">or</w:t>
      </w:r>
      <w:r>
        <w:t>))</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r>
        <w:rPr>
          <w:u w:val="single"/>
        </w:rPr>
        <w:t xml:space="preserve">; or</w:t>
      </w:r>
    </w:p>
    <w:p>
      <w:pPr>
        <w:spacing w:before="0" w:after="0" w:line="408" w:lineRule="exact"/>
        <w:ind w:left="0" w:right="0" w:firstLine="576"/>
        <w:jc w:val="left"/>
      </w:pPr>
      <w:r>
        <w:rPr>
          <w:u w:val="single"/>
        </w:rPr>
        <w:t xml:space="preserve">(j) The sale or transfer to a governmental entity if the governmental entity manages the land in the same manner as designated forestland under this chapter or property classified as timberland under chapter 84.34 RCW, and the governmental entity provides the county assessor with a timber management plan or a notice of intent to manage the land as required under this subsection (13)(j). The governmental entity must provide an updated timberland or forestland management plan to the county assessor at least once every revaluation cycle. The county is authorized to collect a fee from the governmental entity for the filing of the forestland or timberland management plan in accordance with the county's fee schedule. When the land is not managed as required under this subsection (13)(j), or when the governmental entity sells or transfers the land at any time, the compensating tax specified in subsection (11) of this section is due from the current government owner, unless the change in use of the land, sale or transfer, meets one of the other exceptions in this subsection (13) and subsections (14) and (15) of this section</w:t>
      </w:r>
      <w:r>
        <w:rPr/>
        <w:t xml:space="preserve">.</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w:t>
      </w:r>
      <w:r>
        <w:t>((</w:t>
      </w:r>
      <w:r>
        <w:rPr>
          <w:strike/>
        </w:rPr>
        <w:t xml:space="preserve">or</w:t>
      </w:r>
      <w:r>
        <w:t>))</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r>
        <w:rPr>
          <w:u w:val="single"/>
        </w:rPr>
        <w:t xml:space="preserve">; or</w:t>
      </w:r>
    </w:p>
    <w:p>
      <w:pPr>
        <w:spacing w:before="0" w:after="0" w:line="408" w:lineRule="exact"/>
        <w:ind w:left="0" w:right="0" w:firstLine="576"/>
        <w:jc w:val="left"/>
      </w:pPr>
      <w:r>
        <w:rPr>
          <w:u w:val="single"/>
        </w:rPr>
        <w:t xml:space="preserve">(m) The sale or transfer to a governmental entity if the governmental entity manages the land in the same manner as designated forestland under chapter 84.33 RCW, or as property classified as timberland under this chapter, and the governmental entity provides the county assessor with a timber management plan or a notice of intent to manage the land as required under this subsection (6)(m). The governmental entity must provide an updated timberland or forestland management plan to the county assessor at least once every revaluation cycle. The county is authorized to collect a fee from the governmental entity for the filing of the forestland or timberland management plan in accordance with the county's fee schedule. When the land is not managed as required under this subsection (6)(m), or when the governmental entity sells or transfers the land at any time, the additional tax specified in subsection (4) of this section is due from the current government owner, unless the change in use of the land, sale or transfer, meets one of the other exceptions in this subsection (6)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25b4d4733fa748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296841f544536" /><Relationship Type="http://schemas.openxmlformats.org/officeDocument/2006/relationships/footer" Target="/word/footer1.xml" Id="R25b4d4733fa74833" /></Relationships>
</file>