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d43a0273641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Schmidt, Fosse, Connors, Berry, Bronoske, Abbarno, Ormsby, Volz, Leavitt, Low, Reed, Graham, Kloba, and Reeves; by request of Employment Security Department</w:t>
      </w:r>
    </w:p>
    <w:p/>
    <w:p>
      <w:r>
        <w:rPr>
          <w:t xml:space="preserve">Prefiled 12/06/23.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 charging; amending RCW 50.12.200; and reenacting and amending RCW 50.29.021.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r>
        <w:t>((</w:t>
      </w:r>
      <w:r>
        <w:rPr>
          <w:strike/>
        </w:rPr>
        <w:t xml:space="preserve">:</w:t>
      </w:r>
      <w:r>
        <w:t>))</w:t>
      </w:r>
      <w:r>
        <w:rPr/>
        <w:t xml:space="preserve"> </w:t>
      </w:r>
      <w:r>
        <w:rPr>
          <w:u w:val="single"/>
        </w:rPr>
        <w:t xml:space="preserve">in (a) through (i) of this subsection. The department may not require an employer to submit a request in order for these benefits to not be charged.</w:t>
      </w:r>
    </w:p>
    <w:p>
      <w:pPr>
        <w:spacing w:before="0" w:after="0" w:line="408" w:lineRule="exact"/>
        <w:ind w:left="0" w:right="0" w:firstLine="576"/>
        <w:jc w:val="left"/>
      </w:pPr>
      <w:r>
        <w:rPr/>
        <w:t xml:space="preserve">(a) Benefits paid to any individual later determined to be ineligible </w:t>
      </w:r>
      <w:r>
        <w:rPr>
          <w:u w:val="single"/>
        </w:rPr>
        <w:t xml:space="preserve">for those benefits or disqualified to receive those benefits</w:t>
      </w:r>
      <w:r>
        <w:rPr/>
        <w:t xml:space="preserve"> shall not be charged to the experience rating account of any contribution paying employer, except </w:t>
      </w:r>
      <w:r>
        <w:t>((</w:t>
      </w:r>
      <w:r>
        <w:rPr>
          <w:strike/>
        </w:rPr>
        <w:t xml:space="preserve">as</w:t>
      </w:r>
      <w:r>
        <w:t>))</w:t>
      </w:r>
      <w:r>
        <w:rPr>
          <w:u w:val="single"/>
        </w:rPr>
        <w:t xml:space="preserve">:</w:t>
      </w:r>
    </w:p>
    <w:p>
      <w:pPr>
        <w:spacing w:before="0" w:after="0" w:line="408" w:lineRule="exact"/>
        <w:ind w:left="0" w:right="0" w:firstLine="576"/>
        <w:jc w:val="left"/>
      </w:pPr>
      <w:r>
        <w:rPr>
          <w:u w:val="single"/>
        </w:rPr>
        <w:t xml:space="preserve">(i) As</w:t>
      </w:r>
      <w:r>
        <w:rPr/>
        <w:t xml:space="preserve"> provided in subsection (4) of this section</w:t>
      </w:r>
      <w:r>
        <w:rPr>
          <w:u w:val="single"/>
        </w:rPr>
        <w:t xml:space="preserve">; or</w:t>
      </w:r>
    </w:p>
    <w:p>
      <w:pPr>
        <w:spacing w:before="0" w:after="0" w:line="408" w:lineRule="exact"/>
        <w:ind w:left="0" w:right="0" w:firstLine="576"/>
        <w:jc w:val="left"/>
      </w:pPr>
      <w:r>
        <w:rPr>
          <w:u w:val="single"/>
        </w:rPr>
        <w:t xml:space="preserve">(ii) As provided in subsection (5) of this section</w:t>
      </w:r>
      <w:r>
        <w:rPr/>
        <w:t xml:space="preserve">.</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w:t>
      </w:r>
      <w:r>
        <w:t>((</w:t>
      </w:r>
      <w:r>
        <w:rPr>
          <w:strike/>
        </w:rPr>
        <w:t xml:space="preserve">Benefits paid to an individual who qualifies for benefits under</w:t>
      </w:r>
      <w:r>
        <w:t>))</w:t>
      </w:r>
      <w:r>
        <w:rPr/>
        <w:t xml:space="preserve"> </w:t>
      </w:r>
      <w:r>
        <w:rPr>
          <w:u w:val="single"/>
        </w:rPr>
        <w:t xml:space="preserve">If the department determines an individual left the employ of the separating employer under the circumstances described in</w:t>
      </w:r>
      <w:r>
        <w:rPr/>
        <w:t xml:space="preserve"> RCW 50.20.050(1)(b) (iv) or (xi), (2)(b)(ii), only for separation that was necessary because the care for a child or a vulnerable adult in the claimant's care is inaccessible, (iv), (xi), (xii), or (xiii), or (3), as applicable, </w:t>
      </w:r>
      <w:r>
        <w:rPr>
          <w:u w:val="single"/>
        </w:rPr>
        <w:t xml:space="preserve">benefits paid to that individual</w:t>
      </w:r>
      <w:r>
        <w:rPr/>
        <w:t xml:space="preserve"> shall not be charged to the experience rating account of any </w:t>
      </w:r>
      <w:r>
        <w:rPr>
          <w:u w:val="single"/>
        </w:rPr>
        <w:t xml:space="preserve">base year</w:t>
      </w:r>
      <w:r>
        <w:rPr/>
        <w:t xml:space="preserve"> contribution paying employer.</w:t>
      </w:r>
    </w:p>
    <w:p>
      <w:pPr>
        <w:spacing w:before="0" w:after="0" w:line="408" w:lineRule="exact"/>
        <w:ind w:left="0" w:right="0" w:firstLine="576"/>
        <w:jc w:val="left"/>
      </w:pPr>
      <w:r>
        <w:rPr/>
        <w:t xml:space="preserve">(f) </w:t>
      </w:r>
      <w:r>
        <w:t>((</w:t>
      </w:r>
      <w:r>
        <w:rPr>
          <w:strike/>
        </w:rPr>
        <w:t xml:space="preserve">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strike/>
        </w:rPr>
        <w:t xml:space="preserve">(g)</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r>
        <w:rPr>
          <w:u w:val="single"/>
        </w:rPr>
        <w:t xml:space="preserve">. In addition to other circumstances identified by the department by rule, an individual who leaves the employ of such employer under the circumstances described in RCW 50.20.050(1)(b) (iv) or (xi), (2)(b) (iv), (xi), or (xii), or (3) must be deemed to have left their employ for reasons not attributable to the employer</w:t>
      </w:r>
      <w:r>
        <w:rPr/>
        <w:t xml:space="preserve">;</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w:t>
      </w:r>
      <w:r>
        <w:rPr>
          <w:u w:val="single"/>
        </w:rPr>
        <w:t xml:space="preserve">The department may waive this time limitation for good cause.</w:t>
      </w:r>
      <w:r>
        <w:rPr/>
        <w:t xml:space="preserve">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w:t>
      </w:r>
      <w:r>
        <w:t>((</w:t>
      </w:r>
      <w:r>
        <w:rPr>
          <w:strike/>
        </w:rPr>
        <w:t xml:space="preserve">eligibility for</w:t>
      </w:r>
      <w:r>
        <w:t>))</w:t>
      </w:r>
      <w:r>
        <w:rPr/>
        <w:t xml:space="preserve"> </w:t>
      </w:r>
      <w:r>
        <w:rPr>
          <w:u w:val="single"/>
        </w:rPr>
        <w:t xml:space="preserve">whether an individual is eligible for or qualified to receive</w:t>
      </w:r>
      <w:r>
        <w:rPr/>
        <w:t xml:space="preserve">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2020 c 86 s 1 are each amended to read as follows:</w:t>
      </w:r>
    </w:p>
    <w:p>
      <w:pPr>
        <w:spacing w:before="0" w:after="0" w:line="408" w:lineRule="exact"/>
        <w:ind w:left="0" w:right="0" w:firstLine="576"/>
        <w:jc w:val="left"/>
      </w:pPr>
      <w:r>
        <w:rPr/>
        <w:t xml:space="preserve">(1) The commissioner shall appoint a state advisory council composed of not more than nine </w:t>
      </w:r>
      <w:r>
        <w:t>((</w:t>
      </w:r>
      <w:r>
        <w:rPr>
          <w:strike/>
        </w:rPr>
        <w:t xml:space="preserve">men and women</w:t>
      </w:r>
      <w:r>
        <w:t>))</w:t>
      </w:r>
      <w:r>
        <w:rPr/>
        <w:t xml:space="preserve"> </w:t>
      </w:r>
      <w:r>
        <w:rPr>
          <w:u w:val="single"/>
        </w:rPr>
        <w:t xml:space="preserve">persons</w:t>
      </w:r>
      <w:r>
        <w:rPr/>
        <w:t xml:space="preserve">,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t xml:space="preserve">(2) Beginning in 2021 and ending in 2030, the commissioner shall annually report to the state advisory council the amount of benefits that were not charged to employers as a direct consequence of RCW 50.29.021(3)(a)</w:t>
      </w:r>
      <w:r>
        <w:t>((</w:t>
      </w:r>
      <w:r>
        <w:rPr>
          <w:strike/>
        </w:rPr>
        <w:t xml:space="preserve">(viii)</w:t>
      </w:r>
      <w:r>
        <w:t>))</w:t>
      </w:r>
      <w:r>
        <w:rPr/>
        <w:t xml:space="preserve"> </w:t>
      </w:r>
      <w:r>
        <w:rPr>
          <w:u w:val="single"/>
        </w:rPr>
        <w:t xml:space="preserve">(vii)</w:t>
      </w:r>
      <w:r>
        <w:rPr/>
        <w:t xml:space="preserve">.</w:t>
      </w:r>
    </w:p>
    <w:p/>
    <w:p>
      <w:pPr>
        <w:jc w:val="center"/>
      </w:pPr>
      <w:r>
        <w:rPr>
          <w:b/>
        </w:rPr>
        <w:t>--- END ---</w:t>
      </w:r>
    </w:p>
    <w:sectPr>
      <w:pgNumType w:start="1"/>
      <w:footerReference xmlns:r="http://schemas.openxmlformats.org/officeDocument/2006/relationships" r:id="R9586af8b87a940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1afa7a84f48aa" /><Relationship Type="http://schemas.openxmlformats.org/officeDocument/2006/relationships/footer" Target="/word/footer1.xml" Id="R9586af8b87a94093" /></Relationships>
</file>