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4e6edf7c848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Simmons, Harris, Reed, Ormsby, and Riccelli</w:t>
      </w:r>
    </w:p>
    <w:p/>
    <w:p>
      <w:r>
        <w:rPr>
          <w:t xml:space="preserve">Prefiled 12/19/23.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licensure fees that support the Washington physicians health program; amending RCW 18.71.310, 18.71A.020, 18.57.015, 18.22.250, 18.32.534, and 18.92.047;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over 30 years the Washington physicians health program has been the approved therapeutic alternative to discipline for Washington physicians, physician assistants, dentists, osteopathic physicians, podiatric physicians, and veterinarians with impairing or potentially impairing health conditions. To best support health care professionals and remain a model physician health program nationally, the license surcharge fees that provide the majority of program funding must be periodically increased to sustain and enhance services for impairing or potentially impairing health conditions and hiring qualified staff to handle the increased caseload complexity. More than ever, the legislature finds it is critical to maintain our current physician workforce and authorizing this fee increase, which is supported and paid for by the health care professionals that the program benefits, will provide the resources necessary for the program to continue essential services to the health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2022 c 43 s 5 are each amended to read as follows:</w:t>
      </w:r>
    </w:p>
    <w:p>
      <w:pPr>
        <w:spacing w:before="0" w:after="0" w:line="408" w:lineRule="exact"/>
        <w:ind w:left="0" w:right="0" w:firstLine="576"/>
        <w:jc w:val="left"/>
      </w:pPr>
      <w:r>
        <w:rPr/>
        <w:t xml:space="preserve">(1) The commission shall enter into a contract with the entity to implement a physician health program. The commission may enter into a contract with the entity for up to six years in length. The physician health program may include any or all of the following:</w:t>
      </w:r>
    </w:p>
    <w:p>
      <w:pPr>
        <w:spacing w:before="0" w:after="0" w:line="408" w:lineRule="exact"/>
        <w:ind w:left="0" w:right="0" w:firstLine="576"/>
        <w:jc w:val="left"/>
      </w:pPr>
      <w:r>
        <w:rPr/>
        <w:t xml:space="preserve">(a) Entering into relationships supportive of the physician health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participants including those ordered by the commission;</w:t>
      </w:r>
    </w:p>
    <w:p>
      <w:pPr>
        <w:spacing w:before="0" w:after="0" w:line="408" w:lineRule="exact"/>
        <w:ind w:left="0" w:right="0" w:firstLine="576"/>
        <w:jc w:val="left"/>
      </w:pPr>
      <w:r>
        <w:rPr/>
        <w:t xml:space="preserve">(f) Providing monitoring and care management support of program participants;</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renewal or issuance of a new license to be collected by the department of health from every physician, surgeon, and physician assistant licensed under this chapter in addition to other license fees. These moneys shall be placed in the impaired physician account to be used solely to support the physician health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practice agreements, each signed by one or more supervising physicians licensed in this state. A practice agreement may be signed electronically using a method for electronic signatures approved by the commission. Supervision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w:t>
      </w:r>
      <w:r>
        <w:t>((</w:t>
      </w:r>
      <w:r>
        <w:rPr>
          <w:strike/>
        </w:rPr>
        <w:t xml:space="preserve">fifty dollars</w:t>
      </w:r>
      <w:r>
        <w:t>))</w:t>
      </w:r>
      <w:r>
        <w:rPr/>
        <w:t xml:space="preserve"> </w:t>
      </w:r>
      <w:r>
        <w:rPr>
          <w:u w:val="single"/>
        </w:rPr>
        <w:t xml:space="preserve">$70</w:t>
      </w:r>
      <w:r>
        <w:rPr/>
        <w:t xml:space="preserve">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2022 c 43 s 3 are each amended to read as follows:</w:t>
      </w:r>
    </w:p>
    <w:p>
      <w:pPr>
        <w:spacing w:before="0" w:after="0" w:line="408" w:lineRule="exact"/>
        <w:ind w:left="0" w:right="0" w:firstLine="576"/>
        <w:jc w:val="left"/>
      </w:pPr>
      <w:r>
        <w:rPr/>
        <w:t xml:space="preserve">(1) To implement an osteopathic physician health program as authorized by RCW 18.130.175, the board shall enter into a contract with a physician health program or a voluntary substance use disorder monitoring program. The osteopathic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physicians to treatment programs;</w:t>
      </w:r>
    </w:p>
    <w:p>
      <w:pPr>
        <w:spacing w:before="0" w:after="0" w:line="408" w:lineRule="exact"/>
        <w:ind w:left="0" w:right="0" w:firstLine="576"/>
        <w:jc w:val="left"/>
      </w:pPr>
      <w:r>
        <w:rPr/>
        <w:t xml:space="preserve">(e) Monitoring the treatment and rehabilitation of impaired osteopathic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osteopathic physician licensed under this chapter. These moneys shall be placed in the health professions account to be used solely for the implementation of the osteopathic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2022 c 43 s 1 are each amended to read as follows:</w:t>
      </w:r>
    </w:p>
    <w:p>
      <w:pPr>
        <w:spacing w:before="0" w:after="0" w:line="408" w:lineRule="exact"/>
        <w:ind w:left="0" w:right="0" w:firstLine="576"/>
        <w:jc w:val="left"/>
      </w:pPr>
      <w:r>
        <w:rPr/>
        <w:t xml:space="preserve">(1) To implement a podiatric physician health program as authorized by RCW 18.130.175, the board shall enter into a contract with a physician health program or a voluntary substance use disorder monitoring program. The podiatric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physicians to treatment programs;</w:t>
      </w:r>
    </w:p>
    <w:p>
      <w:pPr>
        <w:spacing w:before="0" w:after="0" w:line="408" w:lineRule="exact"/>
        <w:ind w:left="0" w:right="0" w:firstLine="576"/>
        <w:jc w:val="left"/>
      </w:pPr>
      <w:r>
        <w:rPr/>
        <w:t xml:space="preserve">(e) Monitoring the treatment and rehabilitation of impaired podiatric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podiatric physician licensed under this chapter. These moneys must be placed in the health professions account to be used solely for implementation of the podiatric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2022 c 43 s 2 are each amended to read as follows:</w:t>
      </w:r>
    </w:p>
    <w:p>
      <w:pPr>
        <w:spacing w:before="0" w:after="0" w:line="408" w:lineRule="exact"/>
        <w:ind w:left="0" w:right="0" w:firstLine="576"/>
        <w:jc w:val="left"/>
      </w:pPr>
      <w:r>
        <w:rPr/>
        <w:t xml:space="preserve">(1) To implement a dentist health program as authorized by RCW 18.130.175, the commission shall enter into a contract with a physician health program or a voluntary substance use disorder monitoring program. The dentist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of health from every dentist licensed under this chapter. These moneys shall be placed in the health professions account to be used solely for the implementation of the dentist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2022 c 43 s 8 are each amended to read as follows:</w:t>
      </w:r>
    </w:p>
    <w:p>
      <w:pPr>
        <w:spacing w:before="0" w:after="0" w:line="408" w:lineRule="exact"/>
        <w:ind w:left="0" w:right="0" w:firstLine="576"/>
        <w:jc w:val="left"/>
      </w:pPr>
      <w:r>
        <w:rPr/>
        <w:t xml:space="preserve">(1) To implement a veterinarian health program as authorized by RCW 18.130.175, the veterinary board of governors shall enter into a contract with a physician health program or a voluntary substance use disorder monitoring program. The veterinarian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twenty-five dollars</w:t>
      </w:r>
      <w:r>
        <w:t>))</w:t>
      </w:r>
      <w:r>
        <w:rPr/>
        <w:t xml:space="preserve"> </w:t>
      </w:r>
      <w:r>
        <w:rPr>
          <w:u w:val="single"/>
        </w:rPr>
        <w:t xml:space="preserve">$35</w:t>
      </w:r>
      <w:r>
        <w:rPr/>
        <w:t xml:space="preserve"> per year or equivalent on each license issuance or renewal of a new license to be collected by the department of health from every veterinarian licensed under this chapter. These moneys shall be placed in the health professions account to be used solely for the implementation of the veterinarian health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2026.</w:t>
      </w:r>
    </w:p>
    <w:p/>
    <w:p>
      <w:pPr>
        <w:jc w:val="center"/>
      </w:pPr>
      <w:r>
        <w:rPr>
          <w:b/>
        </w:rPr>
        <w:t>--- END ---</w:t>
      </w:r>
    </w:p>
    <w:sectPr>
      <w:pgNumType w:start="1"/>
      <w:footerReference xmlns:r="http://schemas.openxmlformats.org/officeDocument/2006/relationships" r:id="R26845c8ea449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724664d2549d5" /><Relationship Type="http://schemas.openxmlformats.org/officeDocument/2006/relationships/footer" Target="/word/footer1.xml" Id="R26845c8ea4494234" /></Relationships>
</file>