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340491cf043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1979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Paul, Leavitt, Duerr, Reed, Ormsby, Callan, Kloba, Doglio, Fosse, Ortiz-Self, Hackney, and Shavers)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 of inhalers and epinephrine autoinjectors; and amending RCW 48.43.780.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2023 c 16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required in </w:t>
      </w:r>
      <w:r>
        <w:t>((</w:t>
      </w:r>
      <w:r>
        <w:rPr>
          <w:strike/>
        </w:rPr>
        <w:t xml:space="preserve">subsection (2)</w:t>
      </w:r>
      <w:r>
        <w:t>))</w:t>
      </w:r>
      <w:r>
        <w:rPr/>
        <w:t xml:space="preserve"> </w:t>
      </w:r>
      <w:r>
        <w:rPr>
          <w:u w:val="single"/>
        </w:rPr>
        <w:t xml:space="preserve">(b)</w:t>
      </w:r>
      <w:r>
        <w:rPr/>
        <w:t xml:space="preserve"> of this </w:t>
      </w:r>
      <w:r>
        <w:t>((</w:t>
      </w:r>
      <w:r>
        <w:rPr>
          <w:strike/>
        </w:rPr>
        <w:t xml:space="preserve">section</w:t>
      </w:r>
      <w:r>
        <w:t>))</w:t>
      </w:r>
      <w:r>
        <w:rPr/>
        <w:t xml:space="preserve"> </w:t>
      </w:r>
      <w:r>
        <w:rPr>
          <w:u w:val="single"/>
        </w:rPr>
        <w:t xml:space="preserve">subsection</w:t>
      </w:r>
      <w:r>
        <w:rPr/>
        <w:t xml:space="preserve">,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p>
      <w:pPr>
        <w:spacing w:before="0" w:after="0" w:line="408" w:lineRule="exact"/>
        <w:ind w:left="0" w:right="0" w:firstLine="576"/>
        <w:jc w:val="left"/>
      </w:pPr>
      <w:r>
        <w:rPr>
          <w:u w:val="single"/>
        </w:rPr>
        <w:t xml:space="preserve">(2)(a) Except as provided in (b) of this subsection, a health plan issued or renewed on or after January 1, 2025, that provides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$35 per 30-day supply of the drug. 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u w:val="single"/>
        </w:rPr>
        <w:t xml:space="preserve">(b) 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 level necessary to preserve the enrollee's ability to claim tax exempt contributions from the enrollee's health savings account under internal revenue service laws and regulations.</w:t>
      </w:r>
    </w:p>
    <w:p>
      <w:pPr>
        <w:spacing w:before="0" w:after="0" w:line="408" w:lineRule="exact"/>
        <w:ind w:left="0" w:right="0" w:firstLine="576"/>
        <w:jc w:val="left"/>
      </w:pPr>
      <w:r>
        <w:rPr>
          <w:u w:val="single"/>
        </w:rPr>
        <w:t xml:space="preserve">(3)(a) Except as provided in (b) of this subsection, a health plan issued or renewed on or after January 1, 2025,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$35.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u w:val="single"/>
        </w:rPr>
        <w:t xml:space="preserve">(b) 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p>
      <w:pPr>
        <w:spacing w:before="0" w:after="0" w:line="408" w:lineRule="exact"/>
        <w:ind w:left="0" w:right="0" w:firstLine="576"/>
        <w:jc w:val="left"/>
      </w:pPr>
      <w:r>
        <w:rPr>
          <w:u w:val="single"/>
        </w:rPr>
        <w:t xml:space="preserve">(4)</w:t>
      </w:r>
      <w:r>
        <w:rPr/>
        <w:t xml:space="preserve"> The office of the insurance commissioner must provide written notice of </w:t>
      </w:r>
      <w:r>
        <w:t>((</w:t>
      </w:r>
      <w:r>
        <w:rPr>
          <w:strike/>
        </w:rPr>
        <w:t xml:space="preserve">the change</w:t>
      </w:r>
      <w:r>
        <w:t>))</w:t>
      </w:r>
      <w:r>
        <w:rPr/>
        <w:t xml:space="preserve"> </w:t>
      </w:r>
      <w:r>
        <w:rPr>
          <w:u w:val="single"/>
        </w:rPr>
        <w:t xml:space="preserve">any changes</w:t>
      </w:r>
      <w:r>
        <w:rPr/>
        <w:t xml:space="preserve"> in internal revenue service guidance </w:t>
      </w:r>
      <w:r>
        <w:rPr>
          <w:u w:val="single"/>
        </w:rPr>
        <w:t xml:space="preserve">regarding any prescription drug covered in this section</w:t>
      </w:r>
      <w:r>
        <w:rPr/>
        <w:t xml:space="preserv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u w:val="single"/>
        </w:rPr>
        <w:t xml:space="preserve">(5) To the extent not prohibited under this section, health plans may apply drug utilization management strategies to prescription drugs covered under subsections (2) and (3) of this section.</w:t>
      </w:r>
    </w:p>
    <w:p/>
    <w:p>
      <w:pPr>
        <w:jc w:val="center"/>
      </w:pPr>
      <w:r>
        <w:rPr>
          <w:b/>
        </w:rPr>
        <w:t>--- END ---</w:t>
      </w:r>
    </w:p>
    <w:sectPr>
      <w:pgNumType w:start="1"/>
      <w:footerReference xmlns:r="http://schemas.openxmlformats.org/officeDocument/2006/relationships" r:id="R3d38c4d35f2a4c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4181a72d148c8" /><Relationship Type="http://schemas.openxmlformats.org/officeDocument/2006/relationships/footer" Target="/word/footer1.xml" Id="R3d38c4d35f2a4cfa" /></Relationships>
</file>